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D022E">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rPr>
        <w:t>14</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50</w:t>
      </w:r>
      <w:r>
        <w:rPr>
          <w:rFonts w:hint="eastAsia" w:ascii="Arial" w:hAnsi="Arial" w:cs="Arial"/>
          <w:b/>
          <w:bCs/>
          <w:lang w:val="en-US" w:eastAsia="zh-CN"/>
        </w:rPr>
        <w:t>0850</w:t>
      </w:r>
      <w:bookmarkStart w:id="8" w:name="_GoBack"/>
      <w:bookmarkEnd w:id="8"/>
    </w:p>
    <w:p w14:paraId="44A9EE1E">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1</w:t>
      </w:r>
      <w:r>
        <w:rPr>
          <w:rFonts w:hint="eastAsia" w:ascii="Arial" w:hAnsi="Arial" w:eastAsia="宋体" w:cs="Arial"/>
          <w:b/>
          <w:sz w:val="24"/>
          <w:szCs w:val="24"/>
          <w:vertAlign w:val="superscript"/>
          <w:lang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February</w:t>
      </w:r>
      <w:r>
        <w:rPr>
          <w:rFonts w:ascii="Arial" w:hAnsi="Arial" w:eastAsia="宋体" w:cs="Arial"/>
          <w:b/>
          <w:sz w:val="24"/>
          <w:szCs w:val="24"/>
          <w:lang w:eastAsia="zh-CN"/>
        </w:rPr>
        <w:t>, 202</w:t>
      </w:r>
      <w:r>
        <w:rPr>
          <w:rFonts w:hint="eastAsia" w:ascii="Arial" w:hAnsi="Arial" w:eastAsia="宋体" w:cs="Arial"/>
          <w:b/>
          <w:sz w:val="24"/>
          <w:szCs w:val="24"/>
          <w:lang w:eastAsia="zh-CN"/>
        </w:rPr>
        <w:t>5</w:t>
      </w:r>
    </w:p>
    <w:p w14:paraId="7ACAFA03">
      <w:pPr>
        <w:pStyle w:val="16"/>
        <w:tabs>
          <w:tab w:val="right" w:pos="9781"/>
          <w:tab w:val="right" w:pos="13323"/>
          <w:tab w:val="clear" w:pos="4153"/>
          <w:tab w:val="clear" w:pos="8306"/>
        </w:tabs>
        <w:spacing w:before="60" w:after="60"/>
        <w:rPr>
          <w:b/>
          <w:sz w:val="22"/>
        </w:rPr>
      </w:pPr>
    </w:p>
    <w:p w14:paraId="7E0362B8">
      <w:pPr>
        <w:tabs>
          <w:tab w:val="left" w:pos="1765"/>
          <w:tab w:val="center" w:pos="4557"/>
        </w:tabs>
        <w:rPr>
          <w:b/>
          <w:sz w:val="22"/>
        </w:rPr>
      </w:pPr>
      <w:r>
        <w:rPr>
          <w:b/>
          <w:sz w:val="22"/>
        </w:rPr>
        <w:t>Agenda Item:</w:t>
      </w:r>
      <w:r>
        <w:rPr>
          <w:b/>
          <w:sz w:val="22"/>
          <w:highlight w:val="none"/>
        </w:rPr>
        <w:tab/>
      </w:r>
      <w:r>
        <w:rPr>
          <w:rFonts w:hint="eastAsia"/>
          <w:sz w:val="22"/>
          <w:highlight w:val="none"/>
        </w:rPr>
        <w:t>7.2</w:t>
      </w:r>
      <w:r>
        <w:rPr>
          <w:rFonts w:hint="eastAsia"/>
          <w:sz w:val="22"/>
          <w:highlight w:val="none"/>
          <w:lang w:val="en-US" w:eastAsia="zh-CN"/>
        </w:rPr>
        <w:t>6</w:t>
      </w:r>
      <w:r>
        <w:rPr>
          <w:rFonts w:hint="eastAsia"/>
          <w:sz w:val="22"/>
          <w:highlight w:val="none"/>
        </w:rPr>
        <w:t>.4.1</w:t>
      </w:r>
    </w:p>
    <w:p w14:paraId="34AE9D1E">
      <w:pPr>
        <w:tabs>
          <w:tab w:val="left" w:pos="1765"/>
        </w:tabs>
        <w:rPr>
          <w:sz w:val="22"/>
        </w:rPr>
      </w:pPr>
      <w:r>
        <w:rPr>
          <w:b/>
          <w:sz w:val="22"/>
        </w:rPr>
        <w:t xml:space="preserve">Source: </w:t>
      </w:r>
      <w:r>
        <w:rPr>
          <w:b/>
          <w:sz w:val="22"/>
        </w:rPr>
        <w:tab/>
      </w:r>
      <w:bookmarkStart w:id="1" w:name="_Hlk41145958"/>
      <w:r>
        <w:rPr>
          <w:sz w:val="22"/>
        </w:rPr>
        <w:t>CMCC</w:t>
      </w:r>
      <w:bookmarkEnd w:id="1"/>
    </w:p>
    <w:p w14:paraId="7591B549">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 xml:space="preserve"> Simulation assumption and results for LP-WUR</w:t>
      </w:r>
    </w:p>
    <w:bookmarkEnd w:id="3"/>
    <w:bookmarkEnd w:id="4"/>
    <w:p w14:paraId="4B0BABDA">
      <w:pPr>
        <w:tabs>
          <w:tab w:val="left" w:pos="1765"/>
        </w:tabs>
        <w:rPr>
          <w:sz w:val="22"/>
        </w:rPr>
      </w:pPr>
      <w:r>
        <w:rPr>
          <w:b/>
          <w:sz w:val="22"/>
        </w:rPr>
        <w:t>Document for:</w:t>
      </w:r>
      <w:r>
        <w:rPr>
          <w:b/>
          <w:sz w:val="22"/>
        </w:rPr>
        <w:tab/>
      </w:r>
      <w:r>
        <w:rPr>
          <w:sz w:val="22"/>
        </w:rPr>
        <w:t>Discussion</w:t>
      </w:r>
    </w:p>
    <w:p w14:paraId="3B450EC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038AA35">
      <w:pPr>
        <w:spacing w:before="60"/>
        <w:jc w:val="both"/>
        <w:rPr>
          <w:sz w:val="20"/>
          <w:szCs w:val="20"/>
        </w:rPr>
      </w:pPr>
      <w:r>
        <w:rPr>
          <w:rFonts w:hint="eastAsia"/>
          <w:sz w:val="20"/>
          <w:szCs w:val="20"/>
        </w:rPr>
        <w:t xml:space="preserve">In RAN4#112bis meeting, RAN4 provided the updated RRM simulation assumption. The WF has been approved in [1]. </w:t>
      </w:r>
    </w:p>
    <w:p w14:paraId="564E79AC">
      <w:pPr>
        <w:spacing w:before="60"/>
        <w:jc w:val="both"/>
        <w:rPr>
          <w:sz w:val="20"/>
          <w:szCs w:val="20"/>
        </w:rPr>
      </w:pPr>
      <w:r>
        <w:rPr>
          <w:rFonts w:hint="eastAsia"/>
          <w:sz w:val="20"/>
          <w:szCs w:val="20"/>
        </w:rPr>
        <w:t>In RAN1# meeting, some further agreements have been agreed, which will impact RRM simulation assumption.</w:t>
      </w:r>
    </w:p>
    <w:p w14:paraId="36985391">
      <w:pPr>
        <w:spacing w:before="60"/>
        <w:jc w:val="both"/>
      </w:pPr>
      <w:r>
        <w:rPr>
          <w:rFonts w:hint="eastAsia"/>
          <w:sz w:val="20"/>
          <w:szCs w:val="20"/>
        </w:rPr>
        <w:t>In this contribution, we give our simulation results based on RAN4 simulation assumption and RAN1</w:t>
      </w:r>
      <w:r>
        <w:rPr>
          <w:sz w:val="20"/>
          <w:szCs w:val="20"/>
        </w:rPr>
        <w:t>’</w:t>
      </w:r>
      <w:r>
        <w:rPr>
          <w:rFonts w:hint="eastAsia"/>
          <w:sz w:val="20"/>
          <w:szCs w:val="20"/>
        </w:rPr>
        <w:t>s further agreement.</w:t>
      </w:r>
      <w:bookmarkStart w:id="5" w:name="_Hlk70326378"/>
      <w:bookmarkStart w:id="6" w:name="OLE_LINK1"/>
      <w:bookmarkStart w:id="7" w:name="OLE_LINK2"/>
    </w:p>
    <w:p w14:paraId="0CAF9655">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Simulation result</w:t>
      </w:r>
    </w:p>
    <w:p w14:paraId="09A5BAB8">
      <w:pPr>
        <w:spacing w:after="120"/>
        <w:jc w:val="both"/>
        <w:rPr>
          <w:bCs/>
          <w:color w:val="000000" w:themeColor="text1"/>
          <w:sz w:val="20"/>
          <w:szCs w:val="20"/>
          <w14:textFill>
            <w14:solidFill>
              <w14:schemeClr w14:val="tx1"/>
            </w14:solidFill>
          </w14:textFill>
        </w:rPr>
      </w:pPr>
      <w:r>
        <w:rPr>
          <w:rFonts w:eastAsia="宋体"/>
          <w:sz w:val="20"/>
          <w:szCs w:val="20"/>
          <w:lang w:val="en-GB"/>
        </w:rPr>
        <w:t>Our simulation results are provided below</w:t>
      </w:r>
      <w:r>
        <w:rPr>
          <w:rFonts w:hint="eastAsia" w:eastAsia="宋体"/>
          <w:sz w:val="20"/>
          <w:szCs w:val="20"/>
        </w:rPr>
        <w:t xml:space="preserve"> by using the simulation assumption in Annex.1</w:t>
      </w:r>
      <w:r>
        <w:rPr>
          <w:rFonts w:eastAsia="宋体"/>
          <w:sz w:val="20"/>
          <w:szCs w:val="20"/>
          <w:lang w:val="en-GB"/>
        </w:rPr>
        <w:t xml:space="preserve">. </w:t>
      </w:r>
    </w:p>
    <w:p w14:paraId="5A275CF7">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1. AWGN, Es/IoT = -3, SNR of cell 2 is 6 dB lower compared with cell 2, 4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7D4E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3570AD10">
            <w:pPr>
              <w:rPr>
                <w:bCs/>
                <w:color w:val="000000" w:themeColor="text1"/>
                <w:sz w:val="20"/>
                <w:szCs w:val="20"/>
                <w14:textFill>
                  <w14:solidFill>
                    <w14:schemeClr w14:val="tx1"/>
                  </w14:solidFill>
                </w14:textFill>
              </w:rPr>
            </w:pPr>
          </w:p>
        </w:tc>
        <w:tc>
          <w:tcPr>
            <w:tcW w:w="1333" w:type="dxa"/>
          </w:tcPr>
          <w:p w14:paraId="628999B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75E9F8F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47B739C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3A46CE3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E74139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3EC32E8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77C294C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75DA955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000009E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7F3071D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B7CCEC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03482A0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6443320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73EF81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48A8C60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r>
      <w:tr w14:paraId="4BAA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333" w:type="dxa"/>
          </w:tcPr>
          <w:p w14:paraId="47FA7F4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0E78F2D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0.32</w:t>
            </w:r>
          </w:p>
        </w:tc>
        <w:tc>
          <w:tcPr>
            <w:tcW w:w="1333" w:type="dxa"/>
          </w:tcPr>
          <w:p w14:paraId="5AF8D1D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0.22</w:t>
            </w:r>
          </w:p>
        </w:tc>
        <w:tc>
          <w:tcPr>
            <w:tcW w:w="1333" w:type="dxa"/>
          </w:tcPr>
          <w:p w14:paraId="7544992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0.29</w:t>
            </w:r>
          </w:p>
        </w:tc>
        <w:tc>
          <w:tcPr>
            <w:tcW w:w="1333" w:type="dxa"/>
          </w:tcPr>
          <w:p w14:paraId="2529D62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w:t>
            </w:r>
          </w:p>
        </w:tc>
        <w:tc>
          <w:tcPr>
            <w:tcW w:w="1333" w:type="dxa"/>
          </w:tcPr>
          <w:p w14:paraId="275C8DF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0.53</w:t>
            </w:r>
          </w:p>
        </w:tc>
        <w:tc>
          <w:tcPr>
            <w:tcW w:w="1333" w:type="dxa"/>
          </w:tcPr>
          <w:p w14:paraId="36CA93B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0.42</w:t>
            </w:r>
          </w:p>
        </w:tc>
      </w:tr>
      <w:tr w14:paraId="0628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085FFD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2AA8127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0.27</w:t>
            </w:r>
          </w:p>
        </w:tc>
        <w:tc>
          <w:tcPr>
            <w:tcW w:w="1333" w:type="dxa"/>
          </w:tcPr>
          <w:p w14:paraId="1805916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0.19</w:t>
            </w:r>
          </w:p>
        </w:tc>
        <w:tc>
          <w:tcPr>
            <w:tcW w:w="1333" w:type="dxa"/>
          </w:tcPr>
          <w:p w14:paraId="5D0CFF7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0.24</w:t>
            </w:r>
          </w:p>
        </w:tc>
        <w:tc>
          <w:tcPr>
            <w:tcW w:w="1333" w:type="dxa"/>
          </w:tcPr>
          <w:p w14:paraId="54387B2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0.16</w:t>
            </w:r>
          </w:p>
        </w:tc>
        <w:tc>
          <w:tcPr>
            <w:tcW w:w="1333" w:type="dxa"/>
          </w:tcPr>
          <w:p w14:paraId="29B07A0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0.41</w:t>
            </w:r>
          </w:p>
        </w:tc>
        <w:tc>
          <w:tcPr>
            <w:tcW w:w="1333" w:type="dxa"/>
          </w:tcPr>
          <w:p w14:paraId="60DC3EB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0.32</w:t>
            </w:r>
          </w:p>
        </w:tc>
      </w:tr>
      <w:tr w14:paraId="3C05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3FC866D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2917669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0.24</w:t>
            </w:r>
          </w:p>
        </w:tc>
        <w:tc>
          <w:tcPr>
            <w:tcW w:w="1333" w:type="dxa"/>
          </w:tcPr>
          <w:p w14:paraId="101F3D9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0.17</w:t>
            </w:r>
          </w:p>
        </w:tc>
        <w:tc>
          <w:tcPr>
            <w:tcW w:w="1333" w:type="dxa"/>
          </w:tcPr>
          <w:p w14:paraId="02C3D5B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0.21</w:t>
            </w:r>
          </w:p>
        </w:tc>
        <w:tc>
          <w:tcPr>
            <w:tcW w:w="1333" w:type="dxa"/>
          </w:tcPr>
          <w:p w14:paraId="5ACBBA7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1B0028A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0.3</w:t>
            </w:r>
          </w:p>
        </w:tc>
        <w:tc>
          <w:tcPr>
            <w:tcW w:w="1333" w:type="dxa"/>
          </w:tcPr>
          <w:p w14:paraId="243AA4D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0.23</w:t>
            </w:r>
          </w:p>
        </w:tc>
      </w:tr>
    </w:tbl>
    <w:p w14:paraId="0B24C2EA">
      <w:pPr>
        <w:rPr>
          <w:bCs/>
          <w:color w:val="000000" w:themeColor="text1"/>
          <w:sz w:val="20"/>
          <w:szCs w:val="20"/>
          <w14:textFill>
            <w14:solidFill>
              <w14:schemeClr w14:val="tx1"/>
            </w14:solidFill>
          </w14:textFill>
        </w:rPr>
      </w:pPr>
    </w:p>
    <w:p w14:paraId="2DCEC424">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2. TDL-C 300ns, Es/IoT = -3, SNR of cell 2 is 6 dB lower compared with cell 2, 4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0EB9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0E8A8BF5">
            <w:pPr>
              <w:rPr>
                <w:bCs/>
                <w:color w:val="000000" w:themeColor="text1"/>
                <w:sz w:val="20"/>
                <w:szCs w:val="20"/>
                <w14:textFill>
                  <w14:solidFill>
                    <w14:schemeClr w14:val="tx1"/>
                  </w14:solidFill>
                </w14:textFill>
              </w:rPr>
            </w:pPr>
          </w:p>
        </w:tc>
        <w:tc>
          <w:tcPr>
            <w:tcW w:w="1333" w:type="dxa"/>
          </w:tcPr>
          <w:p w14:paraId="7C29F88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593B5D3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229B5B8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3F2865F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10775A5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1F1DAE0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286A268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6A6C917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5CE136F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4316FED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5F7483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6C14A7C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2848D02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EB8A73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566E783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0A3E1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6A5397C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3B5667C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2.76</w:t>
            </w:r>
          </w:p>
        </w:tc>
        <w:tc>
          <w:tcPr>
            <w:tcW w:w="1333" w:type="dxa"/>
          </w:tcPr>
          <w:p w14:paraId="341F0FF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0.93</w:t>
            </w:r>
          </w:p>
        </w:tc>
        <w:tc>
          <w:tcPr>
            <w:tcW w:w="1333" w:type="dxa"/>
          </w:tcPr>
          <w:p w14:paraId="70CB825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2.97</w:t>
            </w:r>
          </w:p>
        </w:tc>
        <w:tc>
          <w:tcPr>
            <w:tcW w:w="1333" w:type="dxa"/>
          </w:tcPr>
          <w:p w14:paraId="114C0BD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1.13</w:t>
            </w:r>
          </w:p>
        </w:tc>
        <w:tc>
          <w:tcPr>
            <w:tcW w:w="1333" w:type="dxa"/>
          </w:tcPr>
          <w:p w14:paraId="6B4AAD1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3.02</w:t>
            </w:r>
          </w:p>
        </w:tc>
        <w:tc>
          <w:tcPr>
            <w:tcW w:w="1333" w:type="dxa"/>
          </w:tcPr>
          <w:p w14:paraId="205FB2F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1.16</w:t>
            </w:r>
          </w:p>
        </w:tc>
      </w:tr>
      <w:tr w14:paraId="16E9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39D5086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236A78F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2.43</w:t>
            </w:r>
          </w:p>
        </w:tc>
        <w:tc>
          <w:tcPr>
            <w:tcW w:w="1333" w:type="dxa"/>
          </w:tcPr>
          <w:p w14:paraId="33EF06C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0.81</w:t>
            </w:r>
          </w:p>
        </w:tc>
        <w:tc>
          <w:tcPr>
            <w:tcW w:w="1333" w:type="dxa"/>
          </w:tcPr>
          <w:p w14:paraId="114C447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2.51</w:t>
            </w:r>
          </w:p>
        </w:tc>
        <w:tc>
          <w:tcPr>
            <w:tcW w:w="1333" w:type="dxa"/>
          </w:tcPr>
          <w:p w14:paraId="6B2F95E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0.91</w:t>
            </w:r>
          </w:p>
        </w:tc>
        <w:tc>
          <w:tcPr>
            <w:tcW w:w="1333" w:type="dxa"/>
          </w:tcPr>
          <w:p w14:paraId="4ADBFDF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2.74</w:t>
            </w:r>
          </w:p>
        </w:tc>
        <w:tc>
          <w:tcPr>
            <w:tcW w:w="1333" w:type="dxa"/>
          </w:tcPr>
          <w:p w14:paraId="38F2893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1.15</w:t>
            </w:r>
          </w:p>
        </w:tc>
      </w:tr>
      <w:tr w14:paraId="2FBA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6949494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1F62A46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2.15</w:t>
            </w:r>
          </w:p>
        </w:tc>
        <w:tc>
          <w:tcPr>
            <w:tcW w:w="1333" w:type="dxa"/>
          </w:tcPr>
          <w:p w14:paraId="1CA0916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0.72</w:t>
            </w:r>
          </w:p>
        </w:tc>
        <w:tc>
          <w:tcPr>
            <w:tcW w:w="1333" w:type="dxa"/>
          </w:tcPr>
          <w:p w14:paraId="6E482A9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2.39</w:t>
            </w:r>
          </w:p>
        </w:tc>
        <w:tc>
          <w:tcPr>
            <w:tcW w:w="1333" w:type="dxa"/>
          </w:tcPr>
          <w:p w14:paraId="7A38584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0.81</w:t>
            </w:r>
          </w:p>
        </w:tc>
        <w:tc>
          <w:tcPr>
            <w:tcW w:w="1333" w:type="dxa"/>
          </w:tcPr>
          <w:p w14:paraId="3983CE5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2.61</w:t>
            </w:r>
          </w:p>
        </w:tc>
        <w:tc>
          <w:tcPr>
            <w:tcW w:w="1333" w:type="dxa"/>
          </w:tcPr>
          <w:p w14:paraId="3B43891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0.81</w:t>
            </w:r>
          </w:p>
        </w:tc>
      </w:tr>
    </w:tbl>
    <w:p w14:paraId="5203F663">
      <w:pPr>
        <w:jc w:val="center"/>
        <w:rPr>
          <w:b/>
          <w:color w:val="000000" w:themeColor="text1"/>
          <w:sz w:val="20"/>
          <w:szCs w:val="20"/>
          <w14:textFill>
            <w14:solidFill>
              <w14:schemeClr w14:val="tx1"/>
            </w14:solidFill>
          </w14:textFill>
        </w:rPr>
      </w:pPr>
    </w:p>
    <w:p w14:paraId="30619D27">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3. TDL-C 300ns, Es/IoT = -3, SNR of cell 2 is 6 dB lower compared with cell 2, 4 OFDM symbol, 15kHz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789D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5FF47A85">
            <w:pPr>
              <w:rPr>
                <w:bCs/>
                <w:color w:val="000000" w:themeColor="text1"/>
                <w:sz w:val="20"/>
                <w:szCs w:val="20"/>
                <w14:textFill>
                  <w14:solidFill>
                    <w14:schemeClr w14:val="tx1"/>
                  </w14:solidFill>
                </w14:textFill>
              </w:rPr>
            </w:pPr>
          </w:p>
        </w:tc>
        <w:tc>
          <w:tcPr>
            <w:tcW w:w="1333" w:type="dxa"/>
          </w:tcPr>
          <w:p w14:paraId="4F7604D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3B6A06F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414F8CB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49C4702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28488C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29573D0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5AEE72E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A8E975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1D48AE7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2C55A92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4D1210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1E33991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60CF76E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3B2DD55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7410295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06B9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05F1D38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423F5B7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.34</w:t>
            </w:r>
          </w:p>
        </w:tc>
        <w:tc>
          <w:tcPr>
            <w:tcW w:w="1333" w:type="dxa"/>
          </w:tcPr>
          <w:p w14:paraId="516EB23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.16</w:t>
            </w:r>
          </w:p>
        </w:tc>
        <w:tc>
          <w:tcPr>
            <w:tcW w:w="1333" w:type="dxa"/>
          </w:tcPr>
          <w:p w14:paraId="4E2CE40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.52</w:t>
            </w:r>
          </w:p>
        </w:tc>
        <w:tc>
          <w:tcPr>
            <w:tcW w:w="1333" w:type="dxa"/>
          </w:tcPr>
          <w:p w14:paraId="0C058CB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.32</w:t>
            </w:r>
          </w:p>
        </w:tc>
        <w:tc>
          <w:tcPr>
            <w:tcW w:w="1333" w:type="dxa"/>
          </w:tcPr>
          <w:p w14:paraId="7EA9AE2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.91</w:t>
            </w:r>
          </w:p>
        </w:tc>
        <w:tc>
          <w:tcPr>
            <w:tcW w:w="1333" w:type="dxa"/>
          </w:tcPr>
          <w:p w14:paraId="05E9D4B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.82</w:t>
            </w:r>
          </w:p>
        </w:tc>
      </w:tr>
    </w:tbl>
    <w:p w14:paraId="76C7F655">
      <w:pPr>
        <w:spacing w:after="120"/>
        <w:jc w:val="both"/>
        <w:rPr>
          <w:rFonts w:eastAsia="宋体"/>
          <w:sz w:val="20"/>
          <w:szCs w:val="20"/>
          <w:lang w:val="en-GB"/>
        </w:rPr>
      </w:pPr>
    </w:p>
    <w:p w14:paraId="5284B289">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4. AWGN, Es/IoT = -3, SNR of cell 2 is 6 dB lower compared with cell 2, 8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5FB1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0E867A4">
            <w:pPr>
              <w:rPr>
                <w:bCs/>
                <w:color w:val="000000" w:themeColor="text1"/>
                <w:sz w:val="20"/>
                <w:szCs w:val="20"/>
                <w14:textFill>
                  <w14:solidFill>
                    <w14:schemeClr w14:val="tx1"/>
                  </w14:solidFill>
                </w14:textFill>
              </w:rPr>
            </w:pPr>
          </w:p>
        </w:tc>
        <w:tc>
          <w:tcPr>
            <w:tcW w:w="1333" w:type="dxa"/>
          </w:tcPr>
          <w:p w14:paraId="0574649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5442B39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32A1330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5A371CF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3D2A94E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6E4AC68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468E200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26BEBA2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2960F13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6CE2C75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774F965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5842A37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A5AEE2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D9CCC0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1A044B6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r>
      <w:tr w14:paraId="220D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333" w:type="dxa"/>
          </w:tcPr>
          <w:p w14:paraId="5EF14FD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7FD1C1C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0.25</w:t>
            </w:r>
          </w:p>
        </w:tc>
        <w:tc>
          <w:tcPr>
            <w:tcW w:w="1333" w:type="dxa"/>
          </w:tcPr>
          <w:p w14:paraId="5656CF2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0.17</w:t>
            </w:r>
          </w:p>
        </w:tc>
        <w:tc>
          <w:tcPr>
            <w:tcW w:w="1333" w:type="dxa"/>
          </w:tcPr>
          <w:p w14:paraId="668B4A2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0.21</w:t>
            </w:r>
          </w:p>
        </w:tc>
        <w:tc>
          <w:tcPr>
            <w:tcW w:w="1333" w:type="dxa"/>
          </w:tcPr>
          <w:p w14:paraId="2AF18B8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0.15</w:t>
            </w:r>
          </w:p>
        </w:tc>
        <w:tc>
          <w:tcPr>
            <w:tcW w:w="1333" w:type="dxa"/>
          </w:tcPr>
          <w:p w14:paraId="7F30756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0.18</w:t>
            </w:r>
          </w:p>
        </w:tc>
        <w:tc>
          <w:tcPr>
            <w:tcW w:w="1333" w:type="dxa"/>
          </w:tcPr>
          <w:p w14:paraId="665C923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0.11</w:t>
            </w:r>
          </w:p>
        </w:tc>
      </w:tr>
      <w:tr w14:paraId="0A5F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2D3802C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2141EB5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w:t>
            </w:r>
          </w:p>
        </w:tc>
        <w:tc>
          <w:tcPr>
            <w:tcW w:w="1333" w:type="dxa"/>
          </w:tcPr>
          <w:p w14:paraId="75AB17F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2154F11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0.19</w:t>
            </w:r>
          </w:p>
        </w:tc>
        <w:tc>
          <w:tcPr>
            <w:tcW w:w="1333" w:type="dxa"/>
          </w:tcPr>
          <w:p w14:paraId="5A97FA9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0.13</w:t>
            </w:r>
          </w:p>
        </w:tc>
        <w:tc>
          <w:tcPr>
            <w:tcW w:w="1333" w:type="dxa"/>
          </w:tcPr>
          <w:p w14:paraId="4F1DE2E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0.17</w:t>
            </w:r>
          </w:p>
        </w:tc>
        <w:tc>
          <w:tcPr>
            <w:tcW w:w="1333" w:type="dxa"/>
          </w:tcPr>
          <w:p w14:paraId="1914FB9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0.12</w:t>
            </w:r>
          </w:p>
        </w:tc>
      </w:tr>
      <w:tr w14:paraId="76E3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54869A1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4048A46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0.18</w:t>
            </w:r>
          </w:p>
        </w:tc>
        <w:tc>
          <w:tcPr>
            <w:tcW w:w="1333" w:type="dxa"/>
          </w:tcPr>
          <w:p w14:paraId="7943EB9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0.13</w:t>
            </w:r>
          </w:p>
        </w:tc>
        <w:tc>
          <w:tcPr>
            <w:tcW w:w="1333" w:type="dxa"/>
          </w:tcPr>
          <w:p w14:paraId="38AC640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0.15</w:t>
            </w:r>
          </w:p>
        </w:tc>
        <w:tc>
          <w:tcPr>
            <w:tcW w:w="1333" w:type="dxa"/>
          </w:tcPr>
          <w:p w14:paraId="0F644AB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w:t>
            </w:r>
          </w:p>
        </w:tc>
        <w:tc>
          <w:tcPr>
            <w:tcW w:w="1333" w:type="dxa"/>
          </w:tcPr>
          <w:p w14:paraId="7015464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0.13</w:t>
            </w:r>
          </w:p>
        </w:tc>
        <w:tc>
          <w:tcPr>
            <w:tcW w:w="1333" w:type="dxa"/>
          </w:tcPr>
          <w:p w14:paraId="2D930F3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0.08</w:t>
            </w:r>
          </w:p>
        </w:tc>
      </w:tr>
    </w:tbl>
    <w:p w14:paraId="4C327CCE">
      <w:pPr>
        <w:rPr>
          <w:bCs/>
          <w:color w:val="000000" w:themeColor="text1"/>
          <w:sz w:val="20"/>
          <w:szCs w:val="20"/>
          <w14:textFill>
            <w14:solidFill>
              <w14:schemeClr w14:val="tx1"/>
            </w14:solidFill>
          </w14:textFill>
        </w:rPr>
      </w:pPr>
    </w:p>
    <w:p w14:paraId="3BD36AFA">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5. TDL-C 300ns, Es/IoT = -3, SNR of cell 2 is 6 dB lower compared with cell 2, 8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3568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3" w:type="dxa"/>
          </w:tcPr>
          <w:p w14:paraId="1E7B6F53">
            <w:pPr>
              <w:rPr>
                <w:bCs/>
                <w:color w:val="000000" w:themeColor="text1"/>
                <w:sz w:val="20"/>
                <w:szCs w:val="20"/>
                <w14:textFill>
                  <w14:solidFill>
                    <w14:schemeClr w14:val="tx1"/>
                  </w14:solidFill>
                </w14:textFill>
              </w:rPr>
            </w:pPr>
          </w:p>
        </w:tc>
        <w:tc>
          <w:tcPr>
            <w:tcW w:w="1333" w:type="dxa"/>
          </w:tcPr>
          <w:p w14:paraId="14EE8F9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4979B94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5C65348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0211099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179539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6F5FC32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F65545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BBB323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07BA7B4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38C948C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1ECA3C3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4873D01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332F04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3F0D76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6A0BFE5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3B58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14D7C80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033C7CA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2.72</w:t>
            </w:r>
          </w:p>
        </w:tc>
        <w:tc>
          <w:tcPr>
            <w:tcW w:w="1333" w:type="dxa"/>
          </w:tcPr>
          <w:p w14:paraId="348ED3A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0.92</w:t>
            </w:r>
          </w:p>
        </w:tc>
        <w:tc>
          <w:tcPr>
            <w:tcW w:w="1333" w:type="dxa"/>
          </w:tcPr>
          <w:p w14:paraId="4F73A02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2.86</w:t>
            </w:r>
          </w:p>
        </w:tc>
        <w:tc>
          <w:tcPr>
            <w:tcW w:w="1333" w:type="dxa"/>
          </w:tcPr>
          <w:p w14:paraId="30AAA5D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1.09</w:t>
            </w:r>
          </w:p>
        </w:tc>
        <w:tc>
          <w:tcPr>
            <w:tcW w:w="1333" w:type="dxa"/>
          </w:tcPr>
          <w:p w14:paraId="52D22F4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3.19</w:t>
            </w:r>
          </w:p>
        </w:tc>
        <w:tc>
          <w:tcPr>
            <w:tcW w:w="1333" w:type="dxa"/>
          </w:tcPr>
          <w:p w14:paraId="75C43B9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1.45</w:t>
            </w:r>
          </w:p>
        </w:tc>
      </w:tr>
      <w:tr w14:paraId="7C02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76C837A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7EB5F76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2.37</w:t>
            </w:r>
          </w:p>
        </w:tc>
        <w:tc>
          <w:tcPr>
            <w:tcW w:w="1333" w:type="dxa"/>
          </w:tcPr>
          <w:p w14:paraId="2F2FE19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0.81</w:t>
            </w:r>
          </w:p>
        </w:tc>
        <w:tc>
          <w:tcPr>
            <w:tcW w:w="1333" w:type="dxa"/>
          </w:tcPr>
          <w:p w14:paraId="11CB4BF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2.43</w:t>
            </w:r>
          </w:p>
        </w:tc>
        <w:tc>
          <w:tcPr>
            <w:tcW w:w="1333" w:type="dxa"/>
          </w:tcPr>
          <w:p w14:paraId="6BA04B4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0.87</w:t>
            </w:r>
          </w:p>
        </w:tc>
        <w:tc>
          <w:tcPr>
            <w:tcW w:w="1333" w:type="dxa"/>
          </w:tcPr>
          <w:p w14:paraId="6A16718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2.55</w:t>
            </w:r>
          </w:p>
        </w:tc>
        <w:tc>
          <w:tcPr>
            <w:tcW w:w="1333" w:type="dxa"/>
          </w:tcPr>
          <w:p w14:paraId="43D30CD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1.22</w:t>
            </w:r>
          </w:p>
        </w:tc>
      </w:tr>
      <w:tr w14:paraId="22D5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5F431E8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0C4E3AE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2.15</w:t>
            </w:r>
          </w:p>
        </w:tc>
        <w:tc>
          <w:tcPr>
            <w:tcW w:w="1333" w:type="dxa"/>
          </w:tcPr>
          <w:p w14:paraId="3A62C9E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0.73</w:t>
            </w:r>
          </w:p>
        </w:tc>
        <w:tc>
          <w:tcPr>
            <w:tcW w:w="1333" w:type="dxa"/>
          </w:tcPr>
          <w:p w14:paraId="2143C80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2.17</w:t>
            </w:r>
          </w:p>
        </w:tc>
        <w:tc>
          <w:tcPr>
            <w:tcW w:w="1333" w:type="dxa"/>
          </w:tcPr>
          <w:p w14:paraId="64E2BDC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0.75</w:t>
            </w:r>
          </w:p>
        </w:tc>
        <w:tc>
          <w:tcPr>
            <w:tcW w:w="1333" w:type="dxa"/>
          </w:tcPr>
          <w:p w14:paraId="13DFF3C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2.41</w:t>
            </w:r>
          </w:p>
        </w:tc>
        <w:tc>
          <w:tcPr>
            <w:tcW w:w="1333" w:type="dxa"/>
          </w:tcPr>
          <w:p w14:paraId="5F34C08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1.04</w:t>
            </w:r>
          </w:p>
        </w:tc>
      </w:tr>
    </w:tbl>
    <w:p w14:paraId="457A2B78">
      <w:pPr>
        <w:jc w:val="center"/>
        <w:rPr>
          <w:b/>
          <w:color w:val="000000" w:themeColor="text1"/>
          <w:sz w:val="20"/>
          <w:szCs w:val="20"/>
          <w14:textFill>
            <w14:solidFill>
              <w14:schemeClr w14:val="tx1"/>
            </w14:solidFill>
          </w14:textFill>
        </w:rPr>
      </w:pPr>
    </w:p>
    <w:p w14:paraId="7A960011">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6. TDL-C 300ns, Es/IoT = -3, SNR of cell 2 is 6 dB lower compared with cell 2, 8 OFDM symbol, 15kHz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36CE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33" w:type="dxa"/>
          </w:tcPr>
          <w:p w14:paraId="773CD352">
            <w:pPr>
              <w:rPr>
                <w:bCs/>
                <w:color w:val="000000" w:themeColor="text1"/>
                <w:sz w:val="20"/>
                <w:szCs w:val="20"/>
                <w14:textFill>
                  <w14:solidFill>
                    <w14:schemeClr w14:val="tx1"/>
                  </w14:solidFill>
                </w14:textFill>
              </w:rPr>
            </w:pPr>
          </w:p>
        </w:tc>
        <w:tc>
          <w:tcPr>
            <w:tcW w:w="1333" w:type="dxa"/>
          </w:tcPr>
          <w:p w14:paraId="54E6189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38E2148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608E0FA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48D1669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1FD61DE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27A47AD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7904DD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325B02E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30219D7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56C5FE6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B225C5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1D68A4B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6D89D62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7F5F6F3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26E96CA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75F2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7AD76A8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4103DE7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.42</w:t>
            </w:r>
          </w:p>
        </w:tc>
        <w:tc>
          <w:tcPr>
            <w:tcW w:w="1333" w:type="dxa"/>
          </w:tcPr>
          <w:p w14:paraId="609A294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.18</w:t>
            </w:r>
          </w:p>
        </w:tc>
        <w:tc>
          <w:tcPr>
            <w:tcW w:w="1333" w:type="dxa"/>
          </w:tcPr>
          <w:p w14:paraId="161EE52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.51</w:t>
            </w:r>
          </w:p>
        </w:tc>
        <w:tc>
          <w:tcPr>
            <w:tcW w:w="1333" w:type="dxa"/>
          </w:tcPr>
          <w:p w14:paraId="7B8E6F1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.32</w:t>
            </w:r>
          </w:p>
        </w:tc>
        <w:tc>
          <w:tcPr>
            <w:tcW w:w="1333" w:type="dxa"/>
          </w:tcPr>
          <w:p w14:paraId="3413740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.58</w:t>
            </w:r>
          </w:p>
        </w:tc>
        <w:tc>
          <w:tcPr>
            <w:tcW w:w="1333" w:type="dxa"/>
          </w:tcPr>
          <w:p w14:paraId="23E020E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.45</w:t>
            </w:r>
          </w:p>
        </w:tc>
      </w:tr>
    </w:tbl>
    <w:p w14:paraId="1D2A3800">
      <w:pPr>
        <w:jc w:val="center"/>
        <w:rPr>
          <w:b/>
          <w:color w:val="000000" w:themeColor="text1"/>
          <w:sz w:val="20"/>
          <w:szCs w:val="20"/>
          <w14:textFill>
            <w14:solidFill>
              <w14:schemeClr w14:val="tx1"/>
            </w14:solidFill>
          </w14:textFill>
        </w:rPr>
      </w:pPr>
    </w:p>
    <w:p w14:paraId="70949912">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7. AWGN, Es/IoT = -3, SNR of cell 2 is 9 dB lower compared with cell 2, 4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31D7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718005B4">
            <w:pPr>
              <w:rPr>
                <w:bCs/>
                <w:color w:val="000000" w:themeColor="text1"/>
                <w:sz w:val="20"/>
                <w:szCs w:val="20"/>
                <w14:textFill>
                  <w14:solidFill>
                    <w14:schemeClr w14:val="tx1"/>
                  </w14:solidFill>
                </w14:textFill>
              </w:rPr>
            </w:pPr>
          </w:p>
        </w:tc>
        <w:tc>
          <w:tcPr>
            <w:tcW w:w="1333" w:type="dxa"/>
          </w:tcPr>
          <w:p w14:paraId="31AC5EF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7467D65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47301F7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7429A14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BA7EA9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226D1C1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1B6F026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6744F0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147E36F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4CB03C3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1F6F4F0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4D7589D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9BB070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FC2A7F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392F448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r>
      <w:tr w14:paraId="352C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333" w:type="dxa"/>
          </w:tcPr>
          <w:p w14:paraId="16B7163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0AD08D2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0.25</w:t>
            </w:r>
          </w:p>
        </w:tc>
        <w:tc>
          <w:tcPr>
            <w:tcW w:w="1333" w:type="dxa"/>
          </w:tcPr>
          <w:p w14:paraId="2EC225C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0.15</w:t>
            </w:r>
          </w:p>
        </w:tc>
        <w:tc>
          <w:tcPr>
            <w:tcW w:w="1333" w:type="dxa"/>
          </w:tcPr>
          <w:p w14:paraId="08AF89A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0.31</w:t>
            </w:r>
          </w:p>
        </w:tc>
        <w:tc>
          <w:tcPr>
            <w:tcW w:w="1333" w:type="dxa"/>
          </w:tcPr>
          <w:p w14:paraId="4B8269E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0.21</w:t>
            </w:r>
          </w:p>
        </w:tc>
        <w:tc>
          <w:tcPr>
            <w:tcW w:w="1333" w:type="dxa"/>
          </w:tcPr>
          <w:p w14:paraId="23881D1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0.29</w:t>
            </w:r>
          </w:p>
        </w:tc>
        <w:tc>
          <w:tcPr>
            <w:tcW w:w="1333" w:type="dxa"/>
          </w:tcPr>
          <w:p w14:paraId="4FCEA28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0.18</w:t>
            </w:r>
          </w:p>
        </w:tc>
      </w:tr>
      <w:tr w14:paraId="565C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BD5A70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6300463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0.23</w:t>
            </w:r>
          </w:p>
        </w:tc>
        <w:tc>
          <w:tcPr>
            <w:tcW w:w="1333" w:type="dxa"/>
          </w:tcPr>
          <w:p w14:paraId="65DDBCA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1E4A65F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0.28</w:t>
            </w:r>
          </w:p>
        </w:tc>
        <w:tc>
          <w:tcPr>
            <w:tcW w:w="1333" w:type="dxa"/>
          </w:tcPr>
          <w:p w14:paraId="259E1FB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w:t>
            </w:r>
          </w:p>
        </w:tc>
        <w:tc>
          <w:tcPr>
            <w:tcW w:w="1333" w:type="dxa"/>
          </w:tcPr>
          <w:p w14:paraId="05FA8BB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0.22</w:t>
            </w:r>
          </w:p>
        </w:tc>
        <w:tc>
          <w:tcPr>
            <w:tcW w:w="1333" w:type="dxa"/>
          </w:tcPr>
          <w:p w14:paraId="6C0BBF7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0.13</w:t>
            </w:r>
          </w:p>
        </w:tc>
      </w:tr>
      <w:tr w14:paraId="13E7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2449D36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604B20A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0.21</w:t>
            </w:r>
          </w:p>
        </w:tc>
        <w:tc>
          <w:tcPr>
            <w:tcW w:w="1333" w:type="dxa"/>
          </w:tcPr>
          <w:p w14:paraId="561B208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0.12</w:t>
            </w:r>
          </w:p>
        </w:tc>
        <w:tc>
          <w:tcPr>
            <w:tcW w:w="1333" w:type="dxa"/>
          </w:tcPr>
          <w:p w14:paraId="4C40BD6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0.21</w:t>
            </w:r>
          </w:p>
        </w:tc>
        <w:tc>
          <w:tcPr>
            <w:tcW w:w="1333" w:type="dxa"/>
          </w:tcPr>
          <w:p w14:paraId="04F9343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0.13</w:t>
            </w:r>
          </w:p>
        </w:tc>
        <w:tc>
          <w:tcPr>
            <w:tcW w:w="1333" w:type="dxa"/>
          </w:tcPr>
          <w:p w14:paraId="48ABD61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0.19</w:t>
            </w:r>
          </w:p>
        </w:tc>
        <w:tc>
          <w:tcPr>
            <w:tcW w:w="1333" w:type="dxa"/>
          </w:tcPr>
          <w:p w14:paraId="555C2E6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0.11</w:t>
            </w:r>
          </w:p>
        </w:tc>
      </w:tr>
    </w:tbl>
    <w:p w14:paraId="55F5FC00">
      <w:pPr>
        <w:rPr>
          <w:bCs/>
          <w:color w:val="000000" w:themeColor="text1"/>
          <w:sz w:val="20"/>
          <w:szCs w:val="20"/>
          <w14:textFill>
            <w14:solidFill>
              <w14:schemeClr w14:val="tx1"/>
            </w14:solidFill>
          </w14:textFill>
        </w:rPr>
      </w:pPr>
    </w:p>
    <w:p w14:paraId="148501EA">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8. TDL-C 300ns, Es/IoT = -3, SNR of cell 2 is 9 dB lower compared with cell 2, 4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4C50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3" w:type="dxa"/>
          </w:tcPr>
          <w:p w14:paraId="5E189D48">
            <w:pPr>
              <w:rPr>
                <w:bCs/>
                <w:color w:val="000000" w:themeColor="text1"/>
                <w:sz w:val="20"/>
                <w:szCs w:val="20"/>
                <w14:textFill>
                  <w14:solidFill>
                    <w14:schemeClr w14:val="tx1"/>
                  </w14:solidFill>
                </w14:textFill>
              </w:rPr>
            </w:pPr>
          </w:p>
        </w:tc>
        <w:tc>
          <w:tcPr>
            <w:tcW w:w="1333" w:type="dxa"/>
          </w:tcPr>
          <w:p w14:paraId="5317CA0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3887D01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F43500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265655D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226CE61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783277C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2829413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8F9192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77CEF7F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0053E80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1F70F1B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7CBD2E3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1419FAA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49583E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5319BA5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5462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0312DEF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4FA4D86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2.76</w:t>
            </w:r>
          </w:p>
        </w:tc>
        <w:tc>
          <w:tcPr>
            <w:tcW w:w="1333" w:type="dxa"/>
          </w:tcPr>
          <w:p w14:paraId="727FABD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0.98</w:t>
            </w:r>
          </w:p>
        </w:tc>
        <w:tc>
          <w:tcPr>
            <w:tcW w:w="1333" w:type="dxa"/>
          </w:tcPr>
          <w:p w14:paraId="7EDC4AE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3.02</w:t>
            </w:r>
          </w:p>
        </w:tc>
        <w:tc>
          <w:tcPr>
            <w:tcW w:w="1333" w:type="dxa"/>
          </w:tcPr>
          <w:p w14:paraId="036ECBE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1.22</w:t>
            </w:r>
          </w:p>
        </w:tc>
        <w:tc>
          <w:tcPr>
            <w:tcW w:w="1333" w:type="dxa"/>
          </w:tcPr>
          <w:p w14:paraId="29EF1C8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3.34</w:t>
            </w:r>
          </w:p>
        </w:tc>
        <w:tc>
          <w:tcPr>
            <w:tcW w:w="1333" w:type="dxa"/>
          </w:tcPr>
          <w:p w14:paraId="2409929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1.73</w:t>
            </w:r>
          </w:p>
        </w:tc>
      </w:tr>
      <w:tr w14:paraId="6F13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1DECE8E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0C2E007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2.37</w:t>
            </w:r>
          </w:p>
        </w:tc>
        <w:tc>
          <w:tcPr>
            <w:tcW w:w="1333" w:type="dxa"/>
          </w:tcPr>
          <w:p w14:paraId="567CAB3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0.83</w:t>
            </w:r>
          </w:p>
        </w:tc>
        <w:tc>
          <w:tcPr>
            <w:tcW w:w="1333" w:type="dxa"/>
          </w:tcPr>
          <w:p w14:paraId="78E7DB7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2.72</w:t>
            </w:r>
          </w:p>
        </w:tc>
        <w:tc>
          <w:tcPr>
            <w:tcW w:w="1333" w:type="dxa"/>
          </w:tcPr>
          <w:p w14:paraId="4AF915A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1.12</w:t>
            </w:r>
          </w:p>
        </w:tc>
        <w:tc>
          <w:tcPr>
            <w:tcW w:w="1333" w:type="dxa"/>
          </w:tcPr>
          <w:p w14:paraId="435C260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2.93</w:t>
            </w:r>
          </w:p>
        </w:tc>
        <w:tc>
          <w:tcPr>
            <w:tcW w:w="1333" w:type="dxa"/>
          </w:tcPr>
          <w:p w14:paraId="4369B4F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1.43</w:t>
            </w:r>
          </w:p>
        </w:tc>
      </w:tr>
      <w:tr w14:paraId="4F99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765A93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3E9BD62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2.18</w:t>
            </w:r>
          </w:p>
        </w:tc>
        <w:tc>
          <w:tcPr>
            <w:tcW w:w="1333" w:type="dxa"/>
          </w:tcPr>
          <w:p w14:paraId="62D51A6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0.76</w:t>
            </w:r>
          </w:p>
        </w:tc>
        <w:tc>
          <w:tcPr>
            <w:tcW w:w="1333" w:type="dxa"/>
          </w:tcPr>
          <w:p w14:paraId="31DCD3A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2.21</w:t>
            </w:r>
          </w:p>
        </w:tc>
        <w:tc>
          <w:tcPr>
            <w:tcW w:w="1333" w:type="dxa"/>
          </w:tcPr>
          <w:p w14:paraId="756BD61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0.78</w:t>
            </w:r>
          </w:p>
        </w:tc>
        <w:tc>
          <w:tcPr>
            <w:tcW w:w="1333" w:type="dxa"/>
          </w:tcPr>
          <w:p w14:paraId="6CA8C6B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2.51</w:t>
            </w:r>
          </w:p>
        </w:tc>
        <w:tc>
          <w:tcPr>
            <w:tcW w:w="1333" w:type="dxa"/>
          </w:tcPr>
          <w:p w14:paraId="66D5BB5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1.12</w:t>
            </w:r>
          </w:p>
        </w:tc>
      </w:tr>
    </w:tbl>
    <w:p w14:paraId="0989B54B">
      <w:pPr>
        <w:spacing w:after="120"/>
        <w:jc w:val="both"/>
        <w:rPr>
          <w:rFonts w:eastAsia="宋体"/>
          <w:sz w:val="20"/>
          <w:szCs w:val="20"/>
          <w:lang w:val="en-GB"/>
        </w:rPr>
      </w:pPr>
    </w:p>
    <w:p w14:paraId="5DEB20EB">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9. TDL-C 300ns, Es/IoT = -3, SNR of cell 2 is 9 dB lower compared with cell 2, 4 OFDM symbol, 15kHz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7F66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3" w:type="dxa"/>
          </w:tcPr>
          <w:p w14:paraId="26D2E066">
            <w:pPr>
              <w:rPr>
                <w:bCs/>
                <w:color w:val="000000" w:themeColor="text1"/>
                <w:sz w:val="20"/>
                <w:szCs w:val="20"/>
                <w14:textFill>
                  <w14:solidFill>
                    <w14:schemeClr w14:val="tx1"/>
                  </w14:solidFill>
                </w14:textFill>
              </w:rPr>
            </w:pPr>
          </w:p>
        </w:tc>
        <w:tc>
          <w:tcPr>
            <w:tcW w:w="1333" w:type="dxa"/>
          </w:tcPr>
          <w:p w14:paraId="3A3774B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25CF723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2808B0F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6B9B652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2E2EAE8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66E1468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4AA6FC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38F75AE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7696054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7C56CEC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5AD750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08F3F72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2CF50E4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1215DB7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5ECE52B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686C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0E6257E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0899F60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.41</w:t>
            </w:r>
          </w:p>
        </w:tc>
        <w:tc>
          <w:tcPr>
            <w:tcW w:w="1333" w:type="dxa"/>
          </w:tcPr>
          <w:p w14:paraId="6CF360B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.23</w:t>
            </w:r>
          </w:p>
        </w:tc>
        <w:tc>
          <w:tcPr>
            <w:tcW w:w="1333" w:type="dxa"/>
          </w:tcPr>
          <w:p w14:paraId="46880A0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.54</w:t>
            </w:r>
          </w:p>
        </w:tc>
        <w:tc>
          <w:tcPr>
            <w:tcW w:w="1333" w:type="dxa"/>
          </w:tcPr>
          <w:p w14:paraId="2128D70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.35</w:t>
            </w:r>
          </w:p>
        </w:tc>
        <w:tc>
          <w:tcPr>
            <w:tcW w:w="1333" w:type="dxa"/>
          </w:tcPr>
          <w:p w14:paraId="0CA90B4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.81</w:t>
            </w:r>
          </w:p>
        </w:tc>
        <w:tc>
          <w:tcPr>
            <w:tcW w:w="1333" w:type="dxa"/>
          </w:tcPr>
          <w:p w14:paraId="0DACA1D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.74</w:t>
            </w:r>
          </w:p>
        </w:tc>
      </w:tr>
    </w:tbl>
    <w:p w14:paraId="040A4E6B">
      <w:pPr>
        <w:spacing w:after="120"/>
        <w:jc w:val="both"/>
        <w:rPr>
          <w:rFonts w:eastAsia="宋体"/>
          <w:sz w:val="20"/>
          <w:szCs w:val="20"/>
          <w:lang w:val="en-GB"/>
        </w:rPr>
      </w:pPr>
    </w:p>
    <w:p w14:paraId="56D78C1B">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10. AWGN, Es/IoT = -3, SNR of cell 2 is 9 dB lower compared with cell 2, 8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395B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333" w:type="dxa"/>
          </w:tcPr>
          <w:p w14:paraId="33E8381A">
            <w:pPr>
              <w:rPr>
                <w:bCs/>
                <w:color w:val="000000" w:themeColor="text1"/>
                <w:sz w:val="20"/>
                <w:szCs w:val="20"/>
                <w14:textFill>
                  <w14:solidFill>
                    <w14:schemeClr w14:val="tx1"/>
                  </w14:solidFill>
                </w14:textFill>
              </w:rPr>
            </w:pPr>
          </w:p>
        </w:tc>
        <w:tc>
          <w:tcPr>
            <w:tcW w:w="1333" w:type="dxa"/>
          </w:tcPr>
          <w:p w14:paraId="337668C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20648DB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71E31FE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454CD85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24D0E5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17192C5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431990E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227270A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7B87891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07ECA0B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F13C75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5C2EFD2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7A1155E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35CE96A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4D98F1B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r>
      <w:tr w14:paraId="2EAF5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333" w:type="dxa"/>
          </w:tcPr>
          <w:p w14:paraId="657CC29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5B02556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0.18</w:t>
            </w:r>
          </w:p>
        </w:tc>
        <w:tc>
          <w:tcPr>
            <w:tcW w:w="1333" w:type="dxa"/>
          </w:tcPr>
          <w:p w14:paraId="42D8928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w:t>
            </w:r>
          </w:p>
        </w:tc>
        <w:tc>
          <w:tcPr>
            <w:tcW w:w="1333" w:type="dxa"/>
          </w:tcPr>
          <w:p w14:paraId="3EE646C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0.22</w:t>
            </w:r>
          </w:p>
        </w:tc>
        <w:tc>
          <w:tcPr>
            <w:tcW w:w="1333" w:type="dxa"/>
          </w:tcPr>
          <w:p w14:paraId="2E09E8B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0.15</w:t>
            </w:r>
          </w:p>
        </w:tc>
        <w:tc>
          <w:tcPr>
            <w:tcW w:w="1333" w:type="dxa"/>
          </w:tcPr>
          <w:p w14:paraId="1B9726F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0.17</w:t>
            </w:r>
          </w:p>
        </w:tc>
        <w:tc>
          <w:tcPr>
            <w:tcW w:w="1333" w:type="dxa"/>
          </w:tcPr>
          <w:p w14:paraId="0BD1119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w:t>
            </w:r>
          </w:p>
        </w:tc>
      </w:tr>
      <w:tr w14:paraId="0D43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4D7081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1805164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0.15</w:t>
            </w:r>
          </w:p>
        </w:tc>
        <w:tc>
          <w:tcPr>
            <w:tcW w:w="1333" w:type="dxa"/>
          </w:tcPr>
          <w:p w14:paraId="1929D15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0.09</w:t>
            </w:r>
          </w:p>
        </w:tc>
        <w:tc>
          <w:tcPr>
            <w:tcW w:w="1333" w:type="dxa"/>
          </w:tcPr>
          <w:p w14:paraId="233AEC2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0.18</w:t>
            </w:r>
          </w:p>
        </w:tc>
        <w:tc>
          <w:tcPr>
            <w:tcW w:w="1333" w:type="dxa"/>
          </w:tcPr>
          <w:p w14:paraId="611451B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0.12</w:t>
            </w:r>
          </w:p>
        </w:tc>
        <w:tc>
          <w:tcPr>
            <w:tcW w:w="1333" w:type="dxa"/>
          </w:tcPr>
          <w:p w14:paraId="5DD9304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0CD62BD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0.08</w:t>
            </w:r>
          </w:p>
        </w:tc>
      </w:tr>
      <w:tr w14:paraId="31F6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21CA4F1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7B79CCD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49ACCCE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0.08</w:t>
            </w:r>
          </w:p>
        </w:tc>
        <w:tc>
          <w:tcPr>
            <w:tcW w:w="1333" w:type="dxa"/>
          </w:tcPr>
          <w:p w14:paraId="4B36F3D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078AEA5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0.08</w:t>
            </w:r>
          </w:p>
        </w:tc>
        <w:tc>
          <w:tcPr>
            <w:tcW w:w="1333" w:type="dxa"/>
          </w:tcPr>
          <w:p w14:paraId="29902F9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0.14</w:t>
            </w:r>
          </w:p>
        </w:tc>
        <w:tc>
          <w:tcPr>
            <w:tcW w:w="1333" w:type="dxa"/>
          </w:tcPr>
          <w:p w14:paraId="120B489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0.08</w:t>
            </w:r>
          </w:p>
        </w:tc>
      </w:tr>
    </w:tbl>
    <w:p w14:paraId="4C4BF09C">
      <w:pPr>
        <w:rPr>
          <w:bCs/>
          <w:color w:val="000000" w:themeColor="text1"/>
          <w:sz w:val="20"/>
          <w:szCs w:val="20"/>
          <w14:textFill>
            <w14:solidFill>
              <w14:schemeClr w14:val="tx1"/>
            </w14:solidFill>
          </w14:textFill>
        </w:rPr>
      </w:pPr>
    </w:p>
    <w:p w14:paraId="2C8C43C9">
      <w:pPr>
        <w:rPr>
          <w:bCs/>
          <w:color w:val="000000" w:themeColor="text1"/>
          <w:sz w:val="20"/>
          <w:szCs w:val="20"/>
          <w14:textFill>
            <w14:solidFill>
              <w14:schemeClr w14:val="tx1"/>
            </w14:solidFill>
          </w14:textFill>
        </w:rPr>
      </w:pPr>
    </w:p>
    <w:p w14:paraId="574C6849">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11. TDL-C 300ns, Es/IoT = -3, SNR of cell 2 is 9 dB lower compared with cell 2, 8 OFDM symbol, 30kHz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5EB6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735393B9">
            <w:pPr>
              <w:rPr>
                <w:bCs/>
                <w:color w:val="000000" w:themeColor="text1"/>
                <w:sz w:val="20"/>
                <w:szCs w:val="20"/>
                <w14:textFill>
                  <w14:solidFill>
                    <w14:schemeClr w14:val="tx1"/>
                  </w14:solidFill>
                </w14:textFill>
              </w:rPr>
            </w:pPr>
          </w:p>
        </w:tc>
        <w:tc>
          <w:tcPr>
            <w:tcW w:w="1333" w:type="dxa"/>
          </w:tcPr>
          <w:p w14:paraId="514EB80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00C9999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76B9DAC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4EAF9A6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4C74CB6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3CF696A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325B798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0DF26B0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2E0BA10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579ED5E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1CE2C93">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25CAA27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55145A0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5580BA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1B8C836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2CF2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5CF955A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487F8B3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2.78</w:t>
            </w:r>
          </w:p>
        </w:tc>
        <w:tc>
          <w:tcPr>
            <w:tcW w:w="1333" w:type="dxa"/>
          </w:tcPr>
          <w:p w14:paraId="10A8F2E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0.98</w:t>
            </w:r>
          </w:p>
        </w:tc>
        <w:tc>
          <w:tcPr>
            <w:tcW w:w="1333" w:type="dxa"/>
          </w:tcPr>
          <w:p w14:paraId="312AABA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3.06</w:t>
            </w:r>
          </w:p>
        </w:tc>
        <w:tc>
          <w:tcPr>
            <w:tcW w:w="1333" w:type="dxa"/>
          </w:tcPr>
          <w:p w14:paraId="56C3156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2.03</w:t>
            </w:r>
          </w:p>
        </w:tc>
        <w:tc>
          <w:tcPr>
            <w:tcW w:w="1333" w:type="dxa"/>
          </w:tcPr>
          <w:p w14:paraId="21BAA2B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2.99</w:t>
            </w:r>
          </w:p>
        </w:tc>
        <w:tc>
          <w:tcPr>
            <w:tcW w:w="1333" w:type="dxa"/>
          </w:tcPr>
          <w:p w14:paraId="7F978AD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1.26</w:t>
            </w:r>
          </w:p>
        </w:tc>
      </w:tr>
      <w:tr w14:paraId="39FC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36464B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4 sample </w:t>
            </w:r>
          </w:p>
        </w:tc>
        <w:tc>
          <w:tcPr>
            <w:tcW w:w="1333" w:type="dxa"/>
          </w:tcPr>
          <w:p w14:paraId="0EE524B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w:t>
            </w:r>
          </w:p>
        </w:tc>
        <w:tc>
          <w:tcPr>
            <w:tcW w:w="1333" w:type="dxa"/>
          </w:tcPr>
          <w:p w14:paraId="067094D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0.86</w:t>
            </w:r>
          </w:p>
        </w:tc>
        <w:tc>
          <w:tcPr>
            <w:tcW w:w="1333" w:type="dxa"/>
          </w:tcPr>
          <w:p w14:paraId="76DA19D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p>
        </w:tc>
        <w:tc>
          <w:tcPr>
            <w:tcW w:w="1333" w:type="dxa"/>
          </w:tcPr>
          <w:p w14:paraId="7E7782F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1.55</w:t>
            </w:r>
          </w:p>
        </w:tc>
        <w:tc>
          <w:tcPr>
            <w:tcW w:w="1333" w:type="dxa"/>
          </w:tcPr>
          <w:p w14:paraId="3219BAD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2.49</w:t>
            </w:r>
          </w:p>
        </w:tc>
        <w:tc>
          <w:tcPr>
            <w:tcW w:w="1333" w:type="dxa"/>
          </w:tcPr>
          <w:p w14:paraId="31A93828">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0.93</w:t>
            </w:r>
          </w:p>
        </w:tc>
      </w:tr>
      <w:tr w14:paraId="09B6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AFD0C0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5 sample</w:t>
            </w:r>
          </w:p>
        </w:tc>
        <w:tc>
          <w:tcPr>
            <w:tcW w:w="1333" w:type="dxa"/>
          </w:tcPr>
          <w:p w14:paraId="63B1FF8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2.18</w:t>
            </w:r>
          </w:p>
        </w:tc>
        <w:tc>
          <w:tcPr>
            <w:tcW w:w="1333" w:type="dxa"/>
          </w:tcPr>
          <w:p w14:paraId="4D59412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0.78</w:t>
            </w:r>
          </w:p>
        </w:tc>
        <w:tc>
          <w:tcPr>
            <w:tcW w:w="1333" w:type="dxa"/>
          </w:tcPr>
          <w:p w14:paraId="2282CA9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2.43</w:t>
            </w:r>
          </w:p>
        </w:tc>
        <w:tc>
          <w:tcPr>
            <w:tcW w:w="1333" w:type="dxa"/>
          </w:tcPr>
          <w:p w14:paraId="2A712DF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1.09</w:t>
            </w:r>
          </w:p>
        </w:tc>
        <w:tc>
          <w:tcPr>
            <w:tcW w:w="1333" w:type="dxa"/>
          </w:tcPr>
          <w:p w14:paraId="6AA0039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2.4</w:t>
            </w:r>
          </w:p>
        </w:tc>
        <w:tc>
          <w:tcPr>
            <w:tcW w:w="1333" w:type="dxa"/>
          </w:tcPr>
          <w:p w14:paraId="415313E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1.03</w:t>
            </w:r>
          </w:p>
        </w:tc>
      </w:tr>
    </w:tbl>
    <w:p w14:paraId="22373F23">
      <w:pPr>
        <w:spacing w:after="120"/>
        <w:jc w:val="both"/>
        <w:rPr>
          <w:rFonts w:eastAsia="宋体"/>
          <w:sz w:val="20"/>
          <w:szCs w:val="20"/>
          <w:lang w:val="en-GB"/>
        </w:rPr>
      </w:pPr>
    </w:p>
    <w:p w14:paraId="700DC959">
      <w:pPr>
        <w:jc w:val="center"/>
        <w:rPr>
          <w:b/>
          <w:color w:val="000000" w:themeColor="text1"/>
          <w:sz w:val="20"/>
          <w:szCs w:val="20"/>
          <w14:textFill>
            <w14:solidFill>
              <w14:schemeClr w14:val="tx1"/>
            </w14:solidFill>
          </w14:textFill>
        </w:rPr>
      </w:pPr>
      <w:r>
        <w:rPr>
          <w:rFonts w:hint="eastAsia"/>
          <w:b/>
          <w:color w:val="000000" w:themeColor="text1"/>
          <w:sz w:val="20"/>
          <w:szCs w:val="20"/>
          <w14:textFill>
            <w14:solidFill>
              <w14:schemeClr w14:val="tx1"/>
            </w14:solidFill>
          </w14:textFill>
        </w:rPr>
        <w:t>Table 12. TDL-C 300ns, Es/IoT = -3, SNR of cell 2 is 9 dB lower compared with cell 2, 8 OFDM symbol, 15kHz SCS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1333"/>
        <w:gridCol w:w="1333"/>
        <w:gridCol w:w="1333"/>
        <w:gridCol w:w="1333"/>
        <w:gridCol w:w="1333"/>
      </w:tblGrid>
      <w:tr w14:paraId="7881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0CAA5534">
            <w:pPr>
              <w:rPr>
                <w:bCs/>
                <w:color w:val="000000" w:themeColor="text1"/>
                <w:sz w:val="20"/>
                <w:szCs w:val="20"/>
                <w14:textFill>
                  <w14:solidFill>
                    <w14:schemeClr w14:val="tx1"/>
                  </w14:solidFill>
                </w14:textFill>
              </w:rPr>
            </w:pPr>
          </w:p>
        </w:tc>
        <w:tc>
          <w:tcPr>
            <w:tcW w:w="1333" w:type="dxa"/>
          </w:tcPr>
          <w:p w14:paraId="0F9F660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OOK-1 </w:t>
            </w:r>
          </w:p>
          <w:p w14:paraId="4107CB5C">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7BD8092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OOK-1 RSRQ error</w:t>
            </w:r>
          </w:p>
        </w:tc>
        <w:tc>
          <w:tcPr>
            <w:tcW w:w="1333" w:type="dxa"/>
          </w:tcPr>
          <w:p w14:paraId="6CBB18D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5B5275A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121FFEB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0D14817E">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299030D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M=2</w:t>
            </w:r>
          </w:p>
          <w:p w14:paraId="048A2702">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RSRQ error</w:t>
            </w:r>
          </w:p>
        </w:tc>
        <w:tc>
          <w:tcPr>
            <w:tcW w:w="1333" w:type="dxa"/>
          </w:tcPr>
          <w:p w14:paraId="44580B39">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3A569165">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1B43BF31">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RSRP error</w:t>
            </w:r>
          </w:p>
        </w:tc>
        <w:tc>
          <w:tcPr>
            <w:tcW w:w="1333" w:type="dxa"/>
          </w:tcPr>
          <w:p w14:paraId="58D885E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OOK-4 </w:t>
            </w:r>
          </w:p>
          <w:p w14:paraId="7B96BDB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M=4</w:t>
            </w:r>
          </w:p>
          <w:p w14:paraId="1D94153D">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RSRQ error </w:t>
            </w:r>
          </w:p>
        </w:tc>
      </w:tr>
      <w:tr w14:paraId="225B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6020CA94">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 sample</w:t>
            </w:r>
          </w:p>
        </w:tc>
        <w:tc>
          <w:tcPr>
            <w:tcW w:w="1333" w:type="dxa"/>
          </w:tcPr>
          <w:p w14:paraId="536EB6A7">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.4</w:t>
            </w:r>
          </w:p>
        </w:tc>
        <w:tc>
          <w:tcPr>
            <w:tcW w:w="1333" w:type="dxa"/>
          </w:tcPr>
          <w:p w14:paraId="7F5E089A">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.2</w:t>
            </w:r>
          </w:p>
        </w:tc>
        <w:tc>
          <w:tcPr>
            <w:tcW w:w="1333" w:type="dxa"/>
          </w:tcPr>
          <w:p w14:paraId="347BD6EB">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.62</w:t>
            </w:r>
          </w:p>
        </w:tc>
        <w:tc>
          <w:tcPr>
            <w:tcW w:w="1333" w:type="dxa"/>
          </w:tcPr>
          <w:p w14:paraId="26A89B5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.46</w:t>
            </w:r>
          </w:p>
        </w:tc>
        <w:tc>
          <w:tcPr>
            <w:tcW w:w="1333" w:type="dxa"/>
          </w:tcPr>
          <w:p w14:paraId="720FF826">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3</w:t>
            </w:r>
            <w:r>
              <w:rPr>
                <w:bCs/>
                <w:color w:val="000000" w:themeColor="text1"/>
                <w:sz w:val="20"/>
                <w:szCs w:val="20"/>
                <w14:textFill>
                  <w14:solidFill>
                    <w14:schemeClr w14:val="tx1"/>
                  </w14:solidFill>
                </w14:textFill>
              </w:rPr>
              <w:t>.43</w:t>
            </w:r>
          </w:p>
        </w:tc>
        <w:tc>
          <w:tcPr>
            <w:tcW w:w="1333" w:type="dxa"/>
          </w:tcPr>
          <w:p w14:paraId="6A92BBF0">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1</w:t>
            </w:r>
            <w:r>
              <w:rPr>
                <w:bCs/>
                <w:color w:val="000000" w:themeColor="text1"/>
                <w:sz w:val="20"/>
                <w:szCs w:val="20"/>
                <w14:textFill>
                  <w14:solidFill>
                    <w14:schemeClr w14:val="tx1"/>
                  </w14:solidFill>
                </w14:textFill>
              </w:rPr>
              <w:t>.28</w:t>
            </w:r>
          </w:p>
        </w:tc>
      </w:tr>
    </w:tbl>
    <w:p w14:paraId="1E5488C3">
      <w:pPr>
        <w:spacing w:after="120"/>
        <w:jc w:val="both"/>
        <w:rPr>
          <w:rFonts w:eastAsia="宋体"/>
          <w:sz w:val="20"/>
          <w:szCs w:val="20"/>
          <w:lang w:val="en-GB"/>
        </w:rPr>
      </w:pPr>
    </w:p>
    <w:p w14:paraId="2BB3EF0F">
      <w:pPr>
        <w:spacing w:before="60"/>
        <w:rPr>
          <w:b/>
          <w:bCs/>
          <w:i/>
          <w:iCs/>
          <w:sz w:val="20"/>
          <w:szCs w:val="20"/>
        </w:rPr>
      </w:pPr>
      <w:r>
        <w:rPr>
          <w:rFonts w:hint="eastAsia"/>
          <w:b/>
          <w:bCs/>
          <w:i/>
          <w:iCs/>
          <w:sz w:val="20"/>
          <w:szCs w:val="20"/>
        </w:rPr>
        <w:t xml:space="preserve">Observation 1: For OOK based LP-WUR, in order to fulfilled the accuracy requirement </w:t>
      </w:r>
      <w:r>
        <w:rPr>
          <w:b/>
          <w:bCs/>
          <w:i/>
          <w:iCs/>
          <w:sz w:val="20"/>
          <w:szCs w:val="20"/>
          <w:lang w:eastAsia="ja-JP"/>
        </w:rPr>
        <w:sym w:font="Symbol" w:char="F0B1"/>
      </w:r>
      <w:r>
        <w:rPr>
          <w:b/>
          <w:bCs/>
          <w:i/>
          <w:iCs/>
          <w:sz w:val="20"/>
          <w:szCs w:val="20"/>
          <w:lang w:eastAsia="ja-JP"/>
        </w:rPr>
        <w:t>3.5</w:t>
      </w:r>
      <w:r>
        <w:rPr>
          <w:rFonts w:hint="eastAsia"/>
          <w:b/>
          <w:bCs/>
          <w:i/>
          <w:iCs/>
          <w:sz w:val="20"/>
          <w:szCs w:val="20"/>
        </w:rPr>
        <w:t xml:space="preserve">dB for LP-RSRP and </w:t>
      </w:r>
      <w:r>
        <w:rPr>
          <w:b/>
          <w:bCs/>
          <w:i/>
          <w:iCs/>
          <w:sz w:val="20"/>
          <w:szCs w:val="20"/>
          <w:lang w:eastAsia="ja-JP"/>
        </w:rPr>
        <w:sym w:font="Symbol" w:char="F0B1"/>
      </w:r>
      <w:r>
        <w:rPr>
          <w:b/>
          <w:bCs/>
          <w:i/>
          <w:iCs/>
          <w:sz w:val="20"/>
          <w:szCs w:val="20"/>
          <w:lang w:eastAsia="ja-JP"/>
        </w:rPr>
        <w:t>3.5</w:t>
      </w:r>
      <w:r>
        <w:rPr>
          <w:rFonts w:hint="eastAsia"/>
          <w:b/>
          <w:bCs/>
          <w:i/>
          <w:iCs/>
          <w:sz w:val="20"/>
          <w:szCs w:val="20"/>
        </w:rPr>
        <w:t xml:space="preserve">dB for LP-RSRQ, 3 </w:t>
      </w:r>
      <w:r>
        <w:rPr>
          <w:rFonts w:hint="eastAsia"/>
          <w:b/>
          <w:bCs/>
          <w:i/>
          <w:iCs/>
          <w:sz w:val="20"/>
          <w:szCs w:val="20"/>
          <w:lang w:val="en-US" w:eastAsia="zh-CN"/>
        </w:rPr>
        <w:t xml:space="preserve">or 4 </w:t>
      </w:r>
      <w:r>
        <w:rPr>
          <w:rFonts w:hint="eastAsia"/>
          <w:b/>
          <w:bCs/>
          <w:i/>
          <w:iCs/>
          <w:sz w:val="20"/>
          <w:szCs w:val="20"/>
        </w:rPr>
        <w:t>samples are needed.</w:t>
      </w:r>
    </w:p>
    <w:p w14:paraId="3A042186">
      <w:pPr>
        <w:spacing w:before="60" w:after="60"/>
        <w:jc w:val="both"/>
        <w:rPr>
          <w:rFonts w:hint="eastAsia"/>
          <w:b/>
          <w:bCs/>
          <w:i/>
          <w:iCs/>
          <w:sz w:val="20"/>
          <w:szCs w:val="20"/>
        </w:rPr>
      </w:pPr>
      <w:r>
        <w:rPr>
          <w:rFonts w:hint="eastAsia"/>
          <w:b/>
          <w:bCs/>
          <w:i/>
          <w:iCs/>
          <w:sz w:val="20"/>
          <w:szCs w:val="20"/>
        </w:rPr>
        <w:t>Observation 2: Limited or no RRM accuracy gain is achieved by extending the LP-SS overhead from 4 OFDM symbol to 8 OFDM symbol.</w:t>
      </w:r>
    </w:p>
    <w:p w14:paraId="40863CCD">
      <w:pPr>
        <w:spacing w:before="60" w:after="60"/>
        <w:jc w:val="both"/>
        <w:rPr>
          <w:rFonts w:hint="default" w:eastAsiaTheme="minorEastAsia"/>
          <w:b/>
          <w:bCs/>
          <w:i/>
          <w:iCs/>
          <w:sz w:val="20"/>
          <w:szCs w:val="20"/>
          <w:lang w:val="en-US" w:eastAsia="zh-CN"/>
        </w:rPr>
      </w:pPr>
      <w:r>
        <w:rPr>
          <w:rFonts w:hint="eastAsia"/>
          <w:b/>
          <w:bCs/>
          <w:i/>
          <w:iCs/>
          <w:sz w:val="20"/>
          <w:szCs w:val="20"/>
          <w:lang w:val="en-US" w:eastAsia="zh-CN"/>
        </w:rPr>
        <w:t>Observation 3</w:t>
      </w:r>
      <w:r>
        <w:rPr>
          <w:rFonts w:hint="eastAsia" w:ascii="Times New Roman" w:hAnsi="Times New Roman" w:cs="Times New Roman"/>
          <w:b/>
          <w:bCs/>
          <w:i/>
          <w:iCs/>
          <w:sz w:val="20"/>
          <w:szCs w:val="20"/>
          <w:lang w:val="en-US" w:eastAsia="zh-CN"/>
        </w:rPr>
        <w:t>: When other simulation parameter keeps same, the RSRP and RSRQ error is larger in the SCS 15kHz case.</w:t>
      </w:r>
    </w:p>
    <w:p w14:paraId="099AD024">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Discussion</w:t>
      </w:r>
    </w:p>
    <w:p w14:paraId="56A767BA">
      <w:pPr>
        <w:shd w:val="clear" w:color="auto" w:fill="FFFFFF"/>
        <w:snapToGrid w:val="0"/>
        <w:rPr>
          <w:rFonts w:eastAsia="宋体" w:cs="Times"/>
          <w:b/>
          <w:bCs/>
          <w:iCs/>
          <w:color w:val="000000"/>
          <w:sz w:val="20"/>
          <w:szCs w:val="15"/>
          <w:highlight w:val="green"/>
        </w:rPr>
      </w:pPr>
      <w:r>
        <w:rPr>
          <w:b/>
          <w:color w:val="000000" w:themeColor="text1"/>
          <w:sz w:val="20"/>
          <w:szCs w:val="20"/>
          <w:u w:val="single"/>
          <w:lang w:eastAsia="ko-KR"/>
          <w14:textFill>
            <w14:solidFill>
              <w14:schemeClr w14:val="tx1"/>
            </w14:solidFill>
          </w14:textFill>
        </w:rPr>
        <w:t>Issue 2-1-4: On LP-SS sequence for simulation purpose</w:t>
      </w:r>
    </w:p>
    <w:p w14:paraId="14D30353">
      <w:pPr>
        <w:shd w:val="clear" w:color="auto" w:fill="FFFFFF"/>
        <w:snapToGrid w:val="0"/>
        <w:rPr>
          <w:rFonts w:eastAsia="宋体" w:cs="Times"/>
          <w:i/>
          <w:color w:val="000000"/>
          <w:sz w:val="20"/>
          <w:szCs w:val="20"/>
        </w:rPr>
      </w:pPr>
      <w:r>
        <w:rPr>
          <w:rFonts w:eastAsia="宋体" w:cs="Times"/>
          <w:b/>
          <w:bCs/>
          <w:i/>
          <w:color w:val="000000"/>
          <w:sz w:val="20"/>
          <w:szCs w:val="20"/>
          <w:highlight w:val="green"/>
        </w:rPr>
        <w:t>Agreement</w:t>
      </w:r>
      <w:r>
        <w:rPr>
          <w:rFonts w:hint="eastAsia" w:eastAsia="宋体" w:cs="Times"/>
          <w:b/>
          <w:bCs/>
          <w:i/>
          <w:color w:val="000000"/>
          <w:sz w:val="20"/>
          <w:szCs w:val="20"/>
          <w:highlight w:val="green"/>
        </w:rPr>
        <w:t xml:space="preserve"> from RAN1#119</w:t>
      </w:r>
    </w:p>
    <w:p w14:paraId="4EC5B306">
      <w:pPr>
        <w:widowControl w:val="0"/>
        <w:tabs>
          <w:tab w:val="left" w:pos="420"/>
        </w:tabs>
        <w:overflowPunct w:val="0"/>
        <w:autoSpaceDE w:val="0"/>
        <w:autoSpaceDN w:val="0"/>
        <w:adjustRightInd w:val="0"/>
        <w:ind w:right="200"/>
        <w:contextualSpacing/>
        <w:jc w:val="both"/>
        <w:textAlignment w:val="baseline"/>
        <w:rPr>
          <w:rFonts w:cs="Times"/>
          <w:i/>
          <w:sz w:val="20"/>
          <w:szCs w:val="20"/>
        </w:rPr>
      </w:pPr>
      <w:r>
        <w:rPr>
          <w:rFonts w:cs="Times"/>
          <w:i/>
          <w:sz w:val="20"/>
          <w:szCs w:val="20"/>
        </w:rPr>
        <w:t>For the length L of LP-SS binary sequence, limit the selection to the following:</w:t>
      </w:r>
    </w:p>
    <w:p w14:paraId="3FCCC26A">
      <w:pPr>
        <w:numPr>
          <w:ilvl w:val="0"/>
          <w:numId w:val="5"/>
        </w:numPr>
        <w:jc w:val="both"/>
        <w:rPr>
          <w:rFonts w:eastAsia="微软雅黑" w:cs="Times"/>
          <w:bCs/>
          <w:i/>
          <w:color w:val="000000" w:themeColor="text1"/>
          <w:sz w:val="20"/>
          <w:szCs w:val="20"/>
          <w14:textFill>
            <w14:solidFill>
              <w14:schemeClr w14:val="tx1"/>
            </w14:solidFill>
          </w14:textFill>
        </w:rPr>
      </w:pPr>
      <w:r>
        <w:rPr>
          <w:rFonts w:eastAsia="微软雅黑" w:cs="Times"/>
          <w:bCs/>
          <w:i/>
          <w:color w:val="000000" w:themeColor="text1"/>
          <w:sz w:val="20"/>
          <w:szCs w:val="20"/>
          <w14:textFill>
            <w14:solidFill>
              <w14:schemeClr w14:val="tx1"/>
            </w14:solidFill>
          </w14:textFill>
        </w:rPr>
        <w:t>M=1, L= {4, 6, 8}</w:t>
      </w:r>
    </w:p>
    <w:p w14:paraId="38809F39">
      <w:pPr>
        <w:numPr>
          <w:ilvl w:val="0"/>
          <w:numId w:val="5"/>
        </w:numPr>
        <w:jc w:val="both"/>
        <w:rPr>
          <w:rFonts w:eastAsia="微软雅黑" w:cs="Times"/>
          <w:bCs/>
          <w:i/>
          <w:color w:val="000000" w:themeColor="text1"/>
          <w:sz w:val="20"/>
          <w:szCs w:val="20"/>
          <w14:textFill>
            <w14:solidFill>
              <w14:schemeClr w14:val="tx1"/>
            </w14:solidFill>
          </w14:textFill>
        </w:rPr>
      </w:pPr>
      <w:r>
        <w:rPr>
          <w:rFonts w:eastAsia="微软雅黑" w:cs="Times"/>
          <w:bCs/>
          <w:i/>
          <w:color w:val="000000" w:themeColor="text1"/>
          <w:sz w:val="20"/>
          <w:szCs w:val="20"/>
          <w14:textFill>
            <w14:solidFill>
              <w14:schemeClr w14:val="tx1"/>
            </w14:solidFill>
          </w14:textFill>
        </w:rPr>
        <w:t>M=2, L= {8, 12, 16}</w:t>
      </w:r>
    </w:p>
    <w:p w14:paraId="00429693">
      <w:pPr>
        <w:numPr>
          <w:ilvl w:val="0"/>
          <w:numId w:val="5"/>
        </w:numPr>
        <w:jc w:val="both"/>
        <w:rPr>
          <w:rFonts w:eastAsia="微软雅黑" w:cs="Times"/>
          <w:bCs/>
          <w:i/>
          <w:color w:val="000000" w:themeColor="text1"/>
          <w:sz w:val="20"/>
          <w:szCs w:val="20"/>
          <w14:textFill>
            <w14:solidFill>
              <w14:schemeClr w14:val="tx1"/>
            </w14:solidFill>
          </w14:textFill>
        </w:rPr>
      </w:pPr>
      <w:r>
        <w:rPr>
          <w:rFonts w:eastAsia="微软雅黑" w:cs="Times"/>
          <w:bCs/>
          <w:i/>
          <w:color w:val="000000" w:themeColor="text1"/>
          <w:sz w:val="20"/>
          <w:szCs w:val="20"/>
          <w14:textFill>
            <w14:solidFill>
              <w14:schemeClr w14:val="tx1"/>
            </w14:solidFill>
          </w14:textFill>
        </w:rPr>
        <w:t>M=4, L= {16, 32}</w:t>
      </w:r>
    </w:p>
    <w:p w14:paraId="14F07D3F">
      <w:pPr>
        <w:spacing w:before="120"/>
        <w:jc w:val="both"/>
        <w:rPr>
          <w:rFonts w:eastAsia="微软雅黑" w:cs="Times"/>
          <w:bCs/>
          <w:iCs/>
          <w:color w:val="000000" w:themeColor="text1"/>
          <w:sz w:val="20"/>
          <w:szCs w:val="20"/>
          <w14:textFill>
            <w14:solidFill>
              <w14:schemeClr w14:val="tx1"/>
            </w14:solidFill>
          </w14:textFill>
        </w:rPr>
      </w:pPr>
      <w:r>
        <w:rPr>
          <w:rFonts w:hint="eastAsia" w:eastAsia="微软雅黑" w:cs="Times"/>
          <w:bCs/>
          <w:iCs/>
          <w:color w:val="000000" w:themeColor="text1"/>
          <w:sz w:val="20"/>
          <w:szCs w:val="20"/>
          <w14:textFill>
            <w14:solidFill>
              <w14:schemeClr w14:val="tx1"/>
            </w14:solidFill>
          </w14:textFill>
        </w:rPr>
        <w:t xml:space="preserve">Currently, we use following sequences for our simulation, </w:t>
      </w:r>
    </w:p>
    <w:p w14:paraId="220E65F3">
      <w:pPr>
        <w:spacing w:before="60" w:after="60"/>
        <w:jc w:val="both"/>
        <w:rPr>
          <w:bCs/>
          <w:iCs/>
          <w:sz w:val="20"/>
          <w:szCs w:val="20"/>
        </w:rPr>
      </w:pPr>
      <w:r>
        <w:rPr>
          <w:rFonts w:hint="eastAsia"/>
          <w:bCs/>
          <w:iCs/>
          <w:sz w:val="20"/>
          <w:szCs w:val="20"/>
        </w:rPr>
        <w:t>M=1, L=4, LP-SS sequence = [</w:t>
      </w:r>
      <w:r>
        <w:rPr>
          <w:bCs/>
          <w:iCs/>
          <w:sz w:val="20"/>
          <w:szCs w:val="20"/>
        </w:rPr>
        <w:t>1 0 1 0</w:t>
      </w:r>
      <w:r>
        <w:rPr>
          <w:rFonts w:hint="eastAsia"/>
          <w:bCs/>
          <w:iCs/>
          <w:sz w:val="20"/>
          <w:szCs w:val="20"/>
        </w:rPr>
        <w:t>]</w:t>
      </w:r>
    </w:p>
    <w:p w14:paraId="1E8B3258">
      <w:pPr>
        <w:spacing w:before="60" w:after="60"/>
        <w:jc w:val="both"/>
        <w:rPr>
          <w:bCs/>
          <w:iCs/>
          <w:sz w:val="20"/>
          <w:szCs w:val="20"/>
        </w:rPr>
      </w:pPr>
      <w:r>
        <w:rPr>
          <w:rFonts w:hint="eastAsia"/>
          <w:bCs/>
          <w:iCs/>
          <w:sz w:val="20"/>
          <w:szCs w:val="20"/>
        </w:rPr>
        <w:t>M=1, L=8, LP-SS sequence = [</w:t>
      </w:r>
      <w:r>
        <w:rPr>
          <w:bCs/>
          <w:iCs/>
          <w:sz w:val="20"/>
          <w:szCs w:val="20"/>
        </w:rPr>
        <w:t>1 0 1 0 1 0 1 0</w:t>
      </w:r>
      <w:r>
        <w:rPr>
          <w:rFonts w:hint="eastAsia"/>
          <w:bCs/>
          <w:iCs/>
          <w:sz w:val="20"/>
          <w:szCs w:val="20"/>
        </w:rPr>
        <w:t>]</w:t>
      </w:r>
    </w:p>
    <w:p w14:paraId="0C324EB7">
      <w:pPr>
        <w:spacing w:before="60" w:after="60"/>
        <w:jc w:val="both"/>
        <w:rPr>
          <w:bCs/>
          <w:iCs/>
          <w:sz w:val="20"/>
          <w:szCs w:val="20"/>
        </w:rPr>
      </w:pPr>
      <w:r>
        <w:rPr>
          <w:rFonts w:hint="eastAsia"/>
          <w:bCs/>
          <w:iCs/>
          <w:sz w:val="20"/>
          <w:szCs w:val="20"/>
        </w:rPr>
        <w:t>M=2, L=8, LP-SS sequence = [</w:t>
      </w:r>
      <w:r>
        <w:rPr>
          <w:bCs/>
          <w:iCs/>
          <w:sz w:val="20"/>
          <w:szCs w:val="20"/>
        </w:rPr>
        <w:t>1 0 1 0 1 0 1 0</w:t>
      </w:r>
      <w:r>
        <w:rPr>
          <w:rFonts w:hint="eastAsia"/>
          <w:bCs/>
          <w:iCs/>
          <w:sz w:val="20"/>
          <w:szCs w:val="20"/>
        </w:rPr>
        <w:t>]</w:t>
      </w:r>
    </w:p>
    <w:p w14:paraId="1178B1A5">
      <w:pPr>
        <w:spacing w:before="60" w:after="60"/>
        <w:jc w:val="both"/>
        <w:rPr>
          <w:bCs/>
          <w:iCs/>
          <w:sz w:val="20"/>
          <w:szCs w:val="20"/>
        </w:rPr>
      </w:pPr>
      <w:r>
        <w:rPr>
          <w:rFonts w:hint="eastAsia"/>
          <w:bCs/>
          <w:iCs/>
          <w:sz w:val="20"/>
          <w:szCs w:val="20"/>
        </w:rPr>
        <w:t>M=2, L=16, LP-SS sequence = [</w:t>
      </w:r>
      <w:r>
        <w:rPr>
          <w:bCs/>
          <w:iCs/>
          <w:sz w:val="20"/>
          <w:szCs w:val="20"/>
        </w:rPr>
        <w:t>1 0 1 0 0 1 0 1 0 1 0 1 0 1 0 1</w:t>
      </w:r>
      <w:r>
        <w:rPr>
          <w:rFonts w:hint="eastAsia"/>
          <w:bCs/>
          <w:iCs/>
          <w:sz w:val="20"/>
          <w:szCs w:val="20"/>
        </w:rPr>
        <w:t>]</w:t>
      </w:r>
    </w:p>
    <w:p w14:paraId="49395A0B">
      <w:pPr>
        <w:spacing w:before="60" w:after="60"/>
        <w:jc w:val="both"/>
        <w:rPr>
          <w:bCs/>
          <w:iCs/>
          <w:sz w:val="20"/>
          <w:szCs w:val="20"/>
        </w:rPr>
      </w:pPr>
      <w:r>
        <w:rPr>
          <w:rFonts w:hint="eastAsia"/>
          <w:bCs/>
          <w:iCs/>
          <w:sz w:val="20"/>
          <w:szCs w:val="20"/>
        </w:rPr>
        <w:t>M=4, L=16, LP-SS sequence = [</w:t>
      </w:r>
      <w:r>
        <w:rPr>
          <w:bCs/>
          <w:iCs/>
          <w:sz w:val="20"/>
          <w:szCs w:val="20"/>
        </w:rPr>
        <w:t>1 0 1 0 0 1 0 1 0 1 0 1 0 1 0 1</w:t>
      </w:r>
      <w:r>
        <w:rPr>
          <w:rFonts w:hint="eastAsia"/>
          <w:bCs/>
          <w:iCs/>
          <w:sz w:val="20"/>
          <w:szCs w:val="20"/>
        </w:rPr>
        <w:t>]</w:t>
      </w:r>
    </w:p>
    <w:p w14:paraId="346F83F4">
      <w:pPr>
        <w:spacing w:before="60" w:after="60"/>
        <w:jc w:val="both"/>
        <w:rPr>
          <w:bCs/>
          <w:iCs/>
          <w:sz w:val="20"/>
          <w:szCs w:val="20"/>
        </w:rPr>
      </w:pPr>
      <w:r>
        <w:rPr>
          <w:rFonts w:hint="eastAsia"/>
          <w:bCs/>
          <w:iCs/>
          <w:sz w:val="20"/>
          <w:szCs w:val="20"/>
        </w:rPr>
        <w:t>M=4, L=32, LP-SS sequence = [</w:t>
      </w:r>
      <w:r>
        <w:rPr>
          <w:bCs/>
          <w:iCs/>
          <w:sz w:val="20"/>
          <w:szCs w:val="20"/>
        </w:rPr>
        <w:t>1 0 0 1 1 0 1 0 0 1 1 0 0 1 0 1 0 1 1 0 0 1 1 0 1 0 0 1 1 0 0 1</w:t>
      </w:r>
      <w:r>
        <w:rPr>
          <w:rFonts w:hint="eastAsia"/>
          <w:bCs/>
          <w:iCs/>
          <w:sz w:val="20"/>
          <w:szCs w:val="20"/>
        </w:rPr>
        <w:t>]</w:t>
      </w:r>
    </w:p>
    <w:p w14:paraId="47461716">
      <w:pPr>
        <w:spacing w:before="60" w:after="60"/>
        <w:jc w:val="both"/>
        <w:rPr>
          <w:bCs/>
          <w:iCs/>
          <w:sz w:val="20"/>
          <w:szCs w:val="20"/>
        </w:rPr>
      </w:pPr>
      <w:r>
        <w:rPr>
          <w:rFonts w:hint="eastAsia"/>
          <w:bCs/>
          <w:iCs/>
          <w:sz w:val="20"/>
          <w:szCs w:val="20"/>
        </w:rPr>
        <w:t>The LP-SS sequence length and binary sequence may be further updated based on future RAN1</w:t>
      </w:r>
      <w:r>
        <w:rPr>
          <w:bCs/>
          <w:iCs/>
          <w:sz w:val="20"/>
          <w:szCs w:val="20"/>
        </w:rPr>
        <w:t>’</w:t>
      </w:r>
      <w:r>
        <w:rPr>
          <w:rFonts w:hint="eastAsia"/>
          <w:bCs/>
          <w:iCs/>
          <w:sz w:val="20"/>
          <w:szCs w:val="20"/>
        </w:rPr>
        <w:t>s conclusion.</w:t>
      </w:r>
    </w:p>
    <w:p w14:paraId="54ABD6F1">
      <w:pPr>
        <w:spacing w:before="60" w:after="60"/>
        <w:jc w:val="both"/>
        <w:rPr>
          <w:b/>
          <w:bCs/>
          <w:i/>
          <w:iCs/>
          <w:sz w:val="20"/>
          <w:szCs w:val="20"/>
        </w:rPr>
      </w:pPr>
      <w:r>
        <w:rPr>
          <w:rFonts w:hint="eastAsia"/>
          <w:b/>
          <w:bCs/>
          <w:i/>
          <w:iCs/>
          <w:sz w:val="20"/>
          <w:szCs w:val="20"/>
        </w:rPr>
        <w:t>Proposal 1: The LP-SS sequence length and binary sequence may be further updated based on future RAN1’s conclusion.</w:t>
      </w:r>
    </w:p>
    <w:p w14:paraId="08DBD604">
      <w:pPr>
        <w:spacing w:before="60" w:after="60"/>
        <w:jc w:val="both"/>
        <w:rPr>
          <w:b/>
          <w:bCs/>
          <w:i/>
          <w:iCs/>
          <w:sz w:val="20"/>
          <w:szCs w:val="20"/>
        </w:rPr>
      </w:pPr>
      <w:r>
        <w:rPr>
          <w:rFonts w:hint="eastAsia"/>
          <w:b/>
          <w:bCs/>
          <w:i/>
          <w:iCs/>
          <w:sz w:val="20"/>
          <w:szCs w:val="20"/>
        </w:rPr>
        <w:t xml:space="preserve"> </w:t>
      </w:r>
    </w:p>
    <w:p w14:paraId="52C50E59">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2-1-5: On ideal RSRP/RSRQ in simulation</w:t>
      </w:r>
    </w:p>
    <w:p w14:paraId="6CC44E69">
      <w:pPr>
        <w:pStyle w:val="75"/>
        <w:numPr>
          <w:ilvl w:val="0"/>
          <w:numId w:val="6"/>
        </w:numPr>
        <w:spacing w:after="120"/>
        <w:ind w:left="720" w:firstLineChars="0"/>
        <w:rPr>
          <w:rFonts w:eastAsia="宋体"/>
          <w:i/>
          <w:iCs/>
          <w:color w:val="000000" w:themeColor="text1"/>
          <w:sz w:val="20"/>
          <w:szCs w:val="20"/>
          <w14:textFill>
            <w14:solidFill>
              <w14:schemeClr w14:val="tx1"/>
            </w14:solidFill>
          </w14:textFill>
        </w:rPr>
      </w:pPr>
      <w:r>
        <w:rPr>
          <w:rFonts w:eastAsia="宋体"/>
          <w:i/>
          <w:iCs/>
          <w:color w:val="000000" w:themeColor="text1"/>
          <w:sz w:val="20"/>
          <w:szCs w:val="20"/>
          <w14:textFill>
            <w14:solidFill>
              <w14:schemeClr w14:val="tx1"/>
            </w14:solidFill>
          </w14:textFill>
        </w:rPr>
        <w:t xml:space="preserve">Proposals </w:t>
      </w:r>
    </w:p>
    <w:p w14:paraId="4201096E">
      <w:pPr>
        <w:pStyle w:val="75"/>
        <w:numPr>
          <w:ilvl w:val="1"/>
          <w:numId w:val="6"/>
        </w:numPr>
        <w:spacing w:after="120"/>
        <w:ind w:left="1440" w:firstLineChars="0"/>
        <w:rPr>
          <w:rFonts w:eastAsia="宋体"/>
          <w:bCs/>
          <w:i/>
          <w:iCs/>
          <w:sz w:val="20"/>
          <w:szCs w:val="20"/>
        </w:rPr>
      </w:pPr>
      <w:r>
        <w:rPr>
          <w:rFonts w:eastAsia="宋体"/>
          <w:bCs/>
          <w:i/>
          <w:iCs/>
          <w:sz w:val="20"/>
          <w:szCs w:val="20"/>
        </w:rPr>
        <w:t>P1: Ideal RSRP is derived from the serving cell signal after the fading channel; Ideal RSRQ is derived based on ideal RSRP divides the calculated RSSI (Ericsson)</w:t>
      </w:r>
    </w:p>
    <w:p w14:paraId="3CD3A165">
      <w:pPr>
        <w:pStyle w:val="75"/>
        <w:numPr>
          <w:ilvl w:val="1"/>
          <w:numId w:val="6"/>
        </w:numPr>
        <w:spacing w:after="120"/>
        <w:ind w:left="1440" w:firstLineChars="0"/>
        <w:rPr>
          <w:rFonts w:eastAsia="宋体"/>
          <w:bCs/>
          <w:i/>
          <w:iCs/>
          <w:sz w:val="20"/>
          <w:szCs w:val="20"/>
        </w:rPr>
      </w:pPr>
      <w:r>
        <w:rPr>
          <w:rFonts w:eastAsia="宋体"/>
          <w:bCs/>
          <w:i/>
          <w:iCs/>
          <w:sz w:val="20"/>
          <w:szCs w:val="20"/>
        </w:rPr>
        <w:t>P2: Suggest to discuss and align the ideal RSRP calculation (vivo)</w:t>
      </w:r>
    </w:p>
    <w:p w14:paraId="1DE370C4">
      <w:pPr>
        <w:pStyle w:val="75"/>
        <w:numPr>
          <w:ilvl w:val="1"/>
          <w:numId w:val="6"/>
        </w:numPr>
        <w:spacing w:after="120"/>
        <w:ind w:firstLineChars="0"/>
        <w:jc w:val="both"/>
        <w:rPr>
          <w:i/>
          <w:iCs/>
          <w:sz w:val="20"/>
          <w:szCs w:val="20"/>
        </w:rPr>
      </w:pPr>
      <w:r>
        <w:rPr>
          <w:i/>
          <w:iCs/>
          <w:sz w:val="20"/>
          <w:szCs w:val="20"/>
        </w:rPr>
        <w:t xml:space="preserve">Method 1: The first one is the RSRP is pass the fading channel and with the perfect channel estimation and the real RSRP pass the same channel.   </w:t>
      </w:r>
    </w:p>
    <w:p w14:paraId="3969D736">
      <w:pPr>
        <w:pStyle w:val="75"/>
        <w:numPr>
          <w:ilvl w:val="1"/>
          <w:numId w:val="6"/>
        </w:numPr>
        <w:spacing w:after="120"/>
        <w:ind w:firstLineChars="0"/>
        <w:jc w:val="both"/>
        <w:rPr>
          <w:i/>
          <w:iCs/>
          <w:sz w:val="20"/>
          <w:szCs w:val="20"/>
        </w:rPr>
      </w:pPr>
      <w:r>
        <w:rPr>
          <w:rFonts w:hint="eastAsia"/>
          <w:i/>
          <w:iCs/>
          <w:sz w:val="20"/>
          <w:szCs w:val="20"/>
        </w:rPr>
        <w:t>M</w:t>
      </w:r>
      <w:r>
        <w:rPr>
          <w:i/>
          <w:iCs/>
          <w:sz w:val="20"/>
          <w:szCs w:val="20"/>
        </w:rPr>
        <w:t xml:space="preserve">ethod 2: The second one assumes the impact of the fading channel can be completely removed hence the ideal RSRP does not need pass the channel whereas the real RSRP will pass the fading channel. </w:t>
      </w:r>
    </w:p>
    <w:p w14:paraId="2C71FB73">
      <w:pPr>
        <w:rPr>
          <w:i/>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Recommendations:</w:t>
      </w:r>
    </w:p>
    <w:p w14:paraId="2BC83389">
      <w:pPr>
        <w:rPr>
          <w:i/>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Suggest to align ideal RSRP/RSRQ calculation/simulation</w:t>
      </w:r>
    </w:p>
    <w:p w14:paraId="4118F803">
      <w:pPr>
        <w:spacing w:before="120"/>
        <w:jc w:val="both"/>
        <w:rPr>
          <w:rFonts w:eastAsia="微软雅黑" w:cs="Times"/>
          <w:bCs/>
          <w:iCs/>
          <w:color w:val="000000" w:themeColor="text1"/>
          <w:sz w:val="20"/>
          <w:szCs w:val="20"/>
          <w14:textFill>
            <w14:solidFill>
              <w14:schemeClr w14:val="tx1"/>
            </w14:solidFill>
          </w14:textFill>
        </w:rPr>
      </w:pPr>
      <w:r>
        <w:rPr>
          <w:rFonts w:hint="eastAsia" w:eastAsia="微软雅黑" w:cs="Times"/>
          <w:bCs/>
          <w:iCs/>
          <w:color w:val="000000" w:themeColor="text1"/>
          <w:sz w:val="20"/>
          <w:szCs w:val="20"/>
          <w14:textFill>
            <w14:solidFill>
              <w14:schemeClr w14:val="tx1"/>
            </w14:solidFill>
          </w14:textFill>
        </w:rPr>
        <w:t>Currently, we use the Method 2 in P2 to derive our simulation results. We think the Method 1 and Method 2 of P2 may have similar performance, which taking the channel estimation error into account.</w:t>
      </w:r>
    </w:p>
    <w:p w14:paraId="587947A3">
      <w:pPr>
        <w:spacing w:before="120"/>
        <w:jc w:val="both"/>
        <w:rPr>
          <w:rFonts w:eastAsia="微软雅黑" w:cs="Times"/>
          <w:bCs/>
          <w:iCs/>
          <w:color w:val="000000" w:themeColor="text1"/>
          <w:sz w:val="20"/>
          <w:szCs w:val="20"/>
          <w14:textFill>
            <w14:solidFill>
              <w14:schemeClr w14:val="tx1"/>
            </w14:solidFill>
          </w14:textFill>
        </w:rPr>
      </w:pPr>
      <w:r>
        <w:rPr>
          <w:rFonts w:hint="eastAsia" w:eastAsia="微软雅黑" w:cs="Times"/>
          <w:bCs/>
          <w:iCs/>
          <w:color w:val="000000" w:themeColor="text1"/>
          <w:sz w:val="20"/>
          <w:szCs w:val="20"/>
          <w14:textFill>
            <w14:solidFill>
              <w14:schemeClr w14:val="tx1"/>
            </w14:solidFill>
          </w14:textFill>
        </w:rPr>
        <w:t>For P1, although we understand the reason behind, but we concern about how to conduct the test with P1, could TE acquire the RSRP value after the fading channel?</w:t>
      </w:r>
    </w:p>
    <w:p w14:paraId="75FA1281">
      <w:pPr>
        <w:spacing w:before="60" w:after="60"/>
        <w:jc w:val="both"/>
        <w:rPr>
          <w:b/>
          <w:bCs/>
          <w:i/>
          <w:iCs/>
          <w:sz w:val="20"/>
          <w:szCs w:val="20"/>
        </w:rPr>
      </w:pPr>
      <w:r>
        <w:rPr>
          <w:rFonts w:hint="eastAsia"/>
          <w:b/>
          <w:bCs/>
          <w:i/>
          <w:iCs/>
          <w:sz w:val="20"/>
          <w:szCs w:val="20"/>
        </w:rPr>
        <w:t xml:space="preserve">Observation </w:t>
      </w:r>
      <w:r>
        <w:rPr>
          <w:rFonts w:hint="eastAsia"/>
          <w:b/>
          <w:bCs/>
          <w:i/>
          <w:iCs/>
          <w:sz w:val="20"/>
          <w:szCs w:val="20"/>
          <w:lang w:val="en-US" w:eastAsia="zh-CN"/>
        </w:rPr>
        <w:t>4</w:t>
      </w:r>
      <w:r>
        <w:rPr>
          <w:rFonts w:hint="eastAsia"/>
          <w:b/>
          <w:bCs/>
          <w:i/>
          <w:iCs/>
          <w:sz w:val="20"/>
          <w:szCs w:val="20"/>
        </w:rPr>
        <w:t>: How to test with the P1 is not clear, could TE acquire the RSRP value after the fading channel?</w:t>
      </w:r>
    </w:p>
    <w:p w14:paraId="5B7DF868">
      <w:pPr>
        <w:spacing w:before="60" w:after="60"/>
        <w:jc w:val="both"/>
        <w:rPr>
          <w:b/>
          <w:bCs/>
          <w:i/>
          <w:iCs/>
          <w:sz w:val="20"/>
          <w:szCs w:val="20"/>
        </w:rPr>
      </w:pPr>
      <w:r>
        <w:rPr>
          <w:rFonts w:hint="eastAsia"/>
          <w:b/>
          <w:bCs/>
          <w:i/>
          <w:iCs/>
          <w:sz w:val="20"/>
          <w:szCs w:val="20"/>
        </w:rPr>
        <w:t>Proposal 2: Use Method 2 of P2 to derive the ideal RSRP value.</w:t>
      </w:r>
    </w:p>
    <w:p w14:paraId="41ABB093">
      <w:pPr>
        <w:rPr>
          <w:b/>
          <w:i/>
          <w:iCs/>
          <w:color w:val="000000" w:themeColor="text1"/>
          <w:sz w:val="20"/>
          <w:szCs w:val="20"/>
          <w:u w:val="single"/>
          <w14:textFill>
            <w14:solidFill>
              <w14:schemeClr w14:val="tx1"/>
            </w14:solidFill>
          </w14:textFill>
        </w:rPr>
      </w:pPr>
    </w:p>
    <w:p w14:paraId="357800A0">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2-1-6: On SCS in simulation </w:t>
      </w:r>
    </w:p>
    <w:p w14:paraId="53EB2E4B">
      <w:pPr>
        <w:rPr>
          <w:i/>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Recommendations:</w:t>
      </w:r>
    </w:p>
    <w:p w14:paraId="005BE1BB">
      <w:pPr>
        <w:rPr>
          <w:i/>
          <w:color w:val="000000" w:themeColor="text1"/>
          <w:sz w:val="20"/>
          <w:szCs w:val="20"/>
          <w14:textFill>
            <w14:solidFill>
              <w14:schemeClr w14:val="tx1"/>
            </w14:solidFill>
          </w14:textFill>
        </w:rPr>
      </w:pPr>
      <w:r>
        <w:rPr>
          <w:bCs/>
          <w:i/>
          <w:sz w:val="20"/>
          <w:szCs w:val="20"/>
        </w:rPr>
        <w:t xml:space="preserve">Check whether </w:t>
      </w:r>
      <w:r>
        <w:rPr>
          <w:rFonts w:hint="eastAsia"/>
          <w:bCs/>
          <w:i/>
          <w:sz w:val="20"/>
          <w:szCs w:val="20"/>
        </w:rPr>
        <w:t>only using SCS = 30KHz in the simulation</w:t>
      </w:r>
      <w:r>
        <w:rPr>
          <w:bCs/>
          <w:i/>
          <w:sz w:val="20"/>
          <w:szCs w:val="20"/>
        </w:rPr>
        <w:t xml:space="preserve"> is agreeable</w:t>
      </w:r>
    </w:p>
    <w:tbl>
      <w:tblPr>
        <w:tblStyle w:val="20"/>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3"/>
        <w:gridCol w:w="5422"/>
      </w:tblGrid>
      <w:tr w14:paraId="7E70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3" w:type="dxa"/>
            <w:shd w:val="clear" w:color="auto" w:fill="auto"/>
          </w:tcPr>
          <w:p w14:paraId="5FEF8312">
            <w:pPr>
              <w:ind w:right="72"/>
              <w:jc w:val="center"/>
              <w:rPr>
                <w:bCs/>
                <w:i/>
                <w:sz w:val="20"/>
                <w:szCs w:val="20"/>
              </w:rPr>
            </w:pPr>
            <w:r>
              <w:rPr>
                <w:bCs/>
                <w:i/>
                <w:sz w:val="20"/>
                <w:szCs w:val="20"/>
              </w:rPr>
              <w:t>Subcarrier spacing</w:t>
            </w:r>
          </w:p>
        </w:tc>
        <w:tc>
          <w:tcPr>
            <w:tcW w:w="5422" w:type="dxa"/>
            <w:shd w:val="clear" w:color="auto" w:fill="auto"/>
          </w:tcPr>
          <w:p w14:paraId="2517003A">
            <w:pPr>
              <w:ind w:right="72"/>
              <w:jc w:val="center"/>
              <w:rPr>
                <w:bCs/>
                <w:i/>
                <w:sz w:val="20"/>
                <w:szCs w:val="20"/>
              </w:rPr>
            </w:pPr>
            <w:r>
              <w:rPr>
                <w:bCs/>
                <w:i/>
                <w:sz w:val="20"/>
                <w:szCs w:val="20"/>
              </w:rPr>
              <w:t>30KHz  i</w:t>
            </w:r>
            <w:r>
              <w:rPr>
                <w:rFonts w:hint="eastAsia"/>
                <w:bCs/>
                <w:i/>
                <w:sz w:val="20"/>
                <w:szCs w:val="20"/>
              </w:rPr>
              <w:t>nit</w:t>
            </w:r>
            <w:r>
              <w:rPr>
                <w:bCs/>
                <w:i/>
                <w:sz w:val="20"/>
                <w:szCs w:val="20"/>
              </w:rPr>
              <w:t>i</w:t>
            </w:r>
            <w:r>
              <w:rPr>
                <w:rFonts w:hint="eastAsia"/>
                <w:bCs/>
                <w:i/>
                <w:sz w:val="20"/>
                <w:szCs w:val="20"/>
              </w:rPr>
              <w:t>ally</w:t>
            </w:r>
          </w:p>
        </w:tc>
      </w:tr>
    </w:tbl>
    <w:p w14:paraId="1EB5C590">
      <w:pPr>
        <w:spacing w:before="120"/>
        <w:jc w:val="both"/>
        <w:rPr>
          <w:rFonts w:hint="eastAsia" w:ascii="Times New Roman" w:hAnsi="Times New Roman" w:eastAsia="微软雅黑" w:cs="Times"/>
          <w:bCs/>
          <w:iCs/>
          <w:color w:val="000000" w:themeColor="text1"/>
          <w:sz w:val="20"/>
          <w:szCs w:val="20"/>
          <w:lang w:val="en-US" w:eastAsia="zh-CN"/>
          <w14:textFill>
            <w14:solidFill>
              <w14:schemeClr w14:val="tx1"/>
            </w14:solidFill>
          </w14:textFill>
        </w:rPr>
      </w:pPr>
      <w:r>
        <w:rPr>
          <w:rFonts w:hint="eastAsia" w:ascii="Times New Roman" w:hAnsi="Times New Roman" w:eastAsia="微软雅黑" w:cs="Times"/>
          <w:bCs/>
          <w:iCs/>
          <w:color w:val="000000" w:themeColor="text1"/>
          <w:sz w:val="20"/>
          <w:szCs w:val="20"/>
          <w:lang w:val="en-US" w:eastAsia="zh-CN"/>
          <w14:textFill>
            <w14:solidFill>
              <w14:schemeClr w14:val="tx1"/>
            </w14:solidFill>
          </w14:textFill>
        </w:rPr>
        <w:t>Based on our simulation results, when other simulation parameter keeps same, the RSRP and RSRQ error is larger in the SCS 15kHz case. Although the gap is not large, we are willing to also check the accuracy performance under SCS 15kHz scenario.</w:t>
      </w:r>
    </w:p>
    <w:p w14:paraId="738D711B">
      <w:pPr>
        <w:spacing w:before="60" w:after="60"/>
        <w:jc w:val="both"/>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Prefer to check the accuracy performance under SCS 15kHz scenario as well.</w:t>
      </w:r>
    </w:p>
    <w:p w14:paraId="572F0882">
      <w:pPr>
        <w:rPr>
          <w:b/>
          <w:i/>
          <w:iCs/>
          <w:color w:val="000000" w:themeColor="text1"/>
          <w:sz w:val="20"/>
          <w:szCs w:val="20"/>
          <w:u w:val="single"/>
          <w14:textFill>
            <w14:solidFill>
              <w14:schemeClr w14:val="tx1"/>
            </w14:solidFill>
          </w14:textFill>
        </w:rPr>
      </w:pPr>
    </w:p>
    <w:p w14:paraId="7C940793">
      <w:pPr>
        <w:rPr>
          <w:b/>
          <w:i/>
          <w:iCs/>
          <w:color w:val="000000" w:themeColor="text1"/>
          <w:sz w:val="20"/>
          <w:szCs w:val="20"/>
          <w:u w:val="single"/>
          <w14:textFill>
            <w14:solidFill>
              <w14:schemeClr w14:val="tx1"/>
            </w14:solidFill>
          </w14:textFill>
        </w:rPr>
      </w:pPr>
    </w:p>
    <w:bookmarkEnd w:id="5"/>
    <w:p w14:paraId="2EE8406E">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01004463">
      <w:pPr>
        <w:spacing w:before="60"/>
        <w:rPr>
          <w:sz w:val="20"/>
          <w:szCs w:val="20"/>
        </w:rPr>
      </w:pPr>
      <w:r>
        <w:rPr>
          <w:sz w:val="20"/>
          <w:szCs w:val="20"/>
        </w:rPr>
        <w:t>Based on the discussion above, the following</w:t>
      </w:r>
      <w:r>
        <w:rPr>
          <w:rFonts w:hint="eastAsia"/>
          <w:sz w:val="20"/>
          <w:szCs w:val="20"/>
        </w:rPr>
        <w:t xml:space="preserve"> observations</w:t>
      </w:r>
      <w:r>
        <w:rPr>
          <w:sz w:val="20"/>
          <w:szCs w:val="20"/>
        </w:rPr>
        <w:t xml:space="preserve"> are concluded. </w:t>
      </w:r>
      <w:bookmarkEnd w:id="6"/>
      <w:bookmarkEnd w:id="7"/>
    </w:p>
    <w:p w14:paraId="75EB3ACC">
      <w:pPr>
        <w:spacing w:before="60"/>
        <w:rPr>
          <w:b/>
          <w:bCs/>
          <w:i/>
          <w:iCs/>
          <w:sz w:val="20"/>
          <w:szCs w:val="20"/>
        </w:rPr>
      </w:pPr>
      <w:r>
        <w:rPr>
          <w:rFonts w:hint="eastAsia"/>
          <w:b/>
          <w:bCs/>
          <w:i/>
          <w:iCs/>
          <w:sz w:val="20"/>
          <w:szCs w:val="20"/>
        </w:rPr>
        <w:t xml:space="preserve">Observation 1: For OOK based LP-WUR, in order to fulfilled the accuracy requirement </w:t>
      </w:r>
      <w:r>
        <w:rPr>
          <w:b/>
          <w:bCs/>
          <w:i/>
          <w:iCs/>
          <w:sz w:val="20"/>
          <w:szCs w:val="20"/>
          <w:lang w:eastAsia="ja-JP"/>
        </w:rPr>
        <w:sym w:font="Symbol" w:char="F0B1"/>
      </w:r>
      <w:r>
        <w:rPr>
          <w:b/>
          <w:bCs/>
          <w:i/>
          <w:iCs/>
          <w:sz w:val="20"/>
          <w:szCs w:val="20"/>
          <w:lang w:eastAsia="ja-JP"/>
        </w:rPr>
        <w:t>3.5</w:t>
      </w:r>
      <w:r>
        <w:rPr>
          <w:rFonts w:hint="eastAsia"/>
          <w:b/>
          <w:bCs/>
          <w:i/>
          <w:iCs/>
          <w:sz w:val="20"/>
          <w:szCs w:val="20"/>
        </w:rPr>
        <w:t xml:space="preserve">dB for LP-RSRP and </w:t>
      </w:r>
      <w:r>
        <w:rPr>
          <w:b/>
          <w:bCs/>
          <w:i/>
          <w:iCs/>
          <w:sz w:val="20"/>
          <w:szCs w:val="20"/>
          <w:lang w:eastAsia="ja-JP"/>
        </w:rPr>
        <w:sym w:font="Symbol" w:char="F0B1"/>
      </w:r>
      <w:r>
        <w:rPr>
          <w:b/>
          <w:bCs/>
          <w:i/>
          <w:iCs/>
          <w:sz w:val="20"/>
          <w:szCs w:val="20"/>
          <w:lang w:eastAsia="ja-JP"/>
        </w:rPr>
        <w:t>3.5</w:t>
      </w:r>
      <w:r>
        <w:rPr>
          <w:rFonts w:hint="eastAsia"/>
          <w:b/>
          <w:bCs/>
          <w:i/>
          <w:iCs/>
          <w:sz w:val="20"/>
          <w:szCs w:val="20"/>
        </w:rPr>
        <w:t xml:space="preserve">dB for LP-RSRQ, 3 </w:t>
      </w:r>
      <w:r>
        <w:rPr>
          <w:rFonts w:hint="eastAsia"/>
          <w:b/>
          <w:bCs/>
          <w:i/>
          <w:iCs/>
          <w:sz w:val="20"/>
          <w:szCs w:val="20"/>
          <w:lang w:val="en-US" w:eastAsia="zh-CN"/>
        </w:rPr>
        <w:t xml:space="preserve">or 4 </w:t>
      </w:r>
      <w:r>
        <w:rPr>
          <w:rFonts w:hint="eastAsia"/>
          <w:b/>
          <w:bCs/>
          <w:i/>
          <w:iCs/>
          <w:sz w:val="20"/>
          <w:szCs w:val="20"/>
        </w:rPr>
        <w:t>samples are needed.</w:t>
      </w:r>
    </w:p>
    <w:p w14:paraId="5703699D">
      <w:pPr>
        <w:spacing w:before="60" w:after="60"/>
        <w:jc w:val="both"/>
        <w:rPr>
          <w:rFonts w:hint="eastAsia"/>
          <w:b/>
          <w:bCs/>
          <w:i/>
          <w:iCs/>
          <w:sz w:val="20"/>
          <w:szCs w:val="20"/>
        </w:rPr>
      </w:pPr>
      <w:r>
        <w:rPr>
          <w:rFonts w:hint="eastAsia"/>
          <w:b/>
          <w:bCs/>
          <w:i/>
          <w:iCs/>
          <w:sz w:val="20"/>
          <w:szCs w:val="20"/>
        </w:rPr>
        <w:t>Observation 2: Limited or no RRM accuracy gain is achieved by extending the LP-SS overhead from 4 OFDM symbol to 8 OFDM symbol.</w:t>
      </w:r>
    </w:p>
    <w:p w14:paraId="433A183A">
      <w:pPr>
        <w:spacing w:before="60" w:after="60"/>
        <w:jc w:val="both"/>
        <w:rPr>
          <w:rFonts w:hint="eastAsia" w:ascii="Times New Roman" w:hAnsi="Times New Roman" w:cs="Times New Roman"/>
          <w:b/>
          <w:bCs/>
          <w:i/>
          <w:iCs/>
          <w:sz w:val="20"/>
          <w:szCs w:val="20"/>
          <w:lang w:val="en-US" w:eastAsia="zh-CN"/>
        </w:rPr>
      </w:pPr>
      <w:r>
        <w:rPr>
          <w:rFonts w:hint="eastAsia"/>
          <w:b/>
          <w:bCs/>
          <w:i/>
          <w:iCs/>
          <w:sz w:val="20"/>
          <w:szCs w:val="20"/>
          <w:lang w:val="en-US" w:eastAsia="zh-CN"/>
        </w:rPr>
        <w:t>Observation 3</w:t>
      </w:r>
      <w:r>
        <w:rPr>
          <w:rFonts w:hint="eastAsia" w:ascii="Times New Roman" w:hAnsi="Times New Roman" w:cs="Times New Roman"/>
          <w:b/>
          <w:bCs/>
          <w:i/>
          <w:iCs/>
          <w:sz w:val="20"/>
          <w:szCs w:val="20"/>
          <w:lang w:val="en-US" w:eastAsia="zh-CN"/>
        </w:rPr>
        <w:t>: When other simulation parameter keeps same, the RSRP and RSRQ error is larger in the SCS 15kHz case.</w:t>
      </w:r>
    </w:p>
    <w:p w14:paraId="282828D0">
      <w:pPr>
        <w:spacing w:before="60" w:after="60"/>
        <w:jc w:val="both"/>
        <w:rPr>
          <w:b/>
          <w:bCs/>
          <w:i/>
          <w:iCs/>
          <w:sz w:val="20"/>
          <w:szCs w:val="20"/>
        </w:rPr>
      </w:pPr>
      <w:r>
        <w:rPr>
          <w:rFonts w:hint="eastAsia"/>
          <w:b/>
          <w:bCs/>
          <w:i/>
          <w:iCs/>
          <w:sz w:val="20"/>
          <w:szCs w:val="20"/>
        </w:rPr>
        <w:t>Proposal 1: The LP-SS sequence length and binary sequence may be further updated based on future RAN1’s conclusion.</w:t>
      </w:r>
    </w:p>
    <w:p w14:paraId="4548ADD2">
      <w:pPr>
        <w:spacing w:before="60" w:after="60"/>
        <w:jc w:val="both"/>
        <w:rPr>
          <w:b/>
          <w:bCs/>
          <w:i/>
          <w:iCs/>
          <w:sz w:val="20"/>
          <w:szCs w:val="20"/>
        </w:rPr>
      </w:pPr>
      <w:r>
        <w:rPr>
          <w:rFonts w:hint="eastAsia"/>
          <w:b/>
          <w:bCs/>
          <w:i/>
          <w:iCs/>
          <w:sz w:val="20"/>
          <w:szCs w:val="20"/>
        </w:rPr>
        <w:t xml:space="preserve">Observation </w:t>
      </w:r>
      <w:r>
        <w:rPr>
          <w:rFonts w:hint="eastAsia"/>
          <w:b/>
          <w:bCs/>
          <w:i/>
          <w:iCs/>
          <w:sz w:val="20"/>
          <w:szCs w:val="20"/>
          <w:lang w:val="en-US" w:eastAsia="zh-CN"/>
        </w:rPr>
        <w:t>4</w:t>
      </w:r>
      <w:r>
        <w:rPr>
          <w:rFonts w:hint="eastAsia"/>
          <w:b/>
          <w:bCs/>
          <w:i/>
          <w:iCs/>
          <w:sz w:val="20"/>
          <w:szCs w:val="20"/>
        </w:rPr>
        <w:t>: How to test with the P1 is not clear, could TE acquire the RSRP value after the fading channel?</w:t>
      </w:r>
    </w:p>
    <w:p w14:paraId="2205AEAB">
      <w:pPr>
        <w:spacing w:before="60" w:after="60"/>
        <w:jc w:val="both"/>
        <w:rPr>
          <w:b/>
          <w:bCs/>
          <w:i/>
          <w:iCs/>
          <w:sz w:val="20"/>
          <w:szCs w:val="20"/>
        </w:rPr>
      </w:pPr>
      <w:r>
        <w:rPr>
          <w:rFonts w:hint="eastAsia"/>
          <w:b/>
          <w:bCs/>
          <w:i/>
          <w:iCs/>
          <w:sz w:val="20"/>
          <w:szCs w:val="20"/>
        </w:rPr>
        <w:t>Proposal 2: Use Method 2 of P2 to derive the ideal RSRP value.</w:t>
      </w:r>
    </w:p>
    <w:p w14:paraId="5174AD2A">
      <w:pPr>
        <w:spacing w:before="60" w:after="60"/>
        <w:jc w:val="both"/>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Prefer to check the accuracy performance under SCS 15kHz scenario as well.</w:t>
      </w:r>
    </w:p>
    <w:p w14:paraId="1CA8E547">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8EF0CCE">
      <w:pPr>
        <w:numPr>
          <w:ilvl w:val="0"/>
          <w:numId w:val="7"/>
        </w:numPr>
        <w:rPr>
          <w:sz w:val="20"/>
        </w:rPr>
      </w:pPr>
      <w:r>
        <w:rPr>
          <w:rFonts w:hint="eastAsia"/>
          <w:sz w:val="20"/>
          <w:szCs w:val="20"/>
          <w:lang w:val="en-GB"/>
        </w:rPr>
        <w:t>R4-24</w:t>
      </w:r>
      <w:r>
        <w:rPr>
          <w:rFonts w:hint="eastAsia"/>
          <w:sz w:val="20"/>
          <w:szCs w:val="20"/>
        </w:rPr>
        <w:t>20100, WF on RRM requirements for NR_LPWUS, vivo</w:t>
      </w:r>
    </w:p>
    <w:p w14:paraId="7CAEB6F9">
      <w:pPr>
        <w:numPr>
          <w:ilvl w:val="0"/>
          <w:numId w:val="7"/>
        </w:numPr>
        <w:rPr>
          <w:sz w:val="20"/>
          <w:szCs w:val="20"/>
        </w:rPr>
      </w:pPr>
      <w:r>
        <w:rPr>
          <w:rFonts w:hint="eastAsia"/>
          <w:sz w:val="20"/>
          <w:szCs w:val="20"/>
        </w:rPr>
        <w:t>R4-2418284,Topic summary for [113][226] NR_LPWUS, vivo</w:t>
      </w:r>
    </w:p>
    <w:p w14:paraId="3F63FDFC">
      <w:pPr>
        <w:pStyle w:val="2"/>
        <w:numPr>
          <w:ilvl w:val="0"/>
          <w:numId w:val="0"/>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Annex.A</w:t>
      </w:r>
    </w:p>
    <w:p w14:paraId="73566D1F">
      <w:pPr>
        <w:rPr>
          <w:b/>
          <w:i/>
          <w:iCs/>
          <w:color w:val="000000" w:themeColor="text1"/>
          <w:sz w:val="20"/>
          <w:szCs w:val="20"/>
          <w:u w:val="single"/>
          <w14:textFill>
            <w14:solidFill>
              <w14:schemeClr w14:val="tx1"/>
            </w14:solidFill>
          </w14:textFill>
        </w:rPr>
      </w:pPr>
      <w:r>
        <w:rPr>
          <w:rFonts w:hint="eastAsia"/>
          <w:b/>
          <w:i/>
          <w:iCs/>
          <w:color w:val="000000" w:themeColor="text1"/>
          <w:sz w:val="20"/>
          <w:szCs w:val="20"/>
          <w:u w:val="single"/>
          <w14:textFill>
            <w14:solidFill>
              <w14:schemeClr w14:val="tx1"/>
            </w14:solidFill>
          </w14:textFill>
        </w:rPr>
        <w:t>Simulation assumption</w:t>
      </w:r>
    </w:p>
    <w:p w14:paraId="173FB51F">
      <w:pPr>
        <w:rPr>
          <w:bCs/>
          <w:color w:val="000000" w:themeColor="text1"/>
          <w:sz w:val="20"/>
          <w:szCs w:val="20"/>
          <w14:textFill>
            <w14:solidFill>
              <w14:schemeClr w14:val="tx1"/>
            </w14:solidFill>
          </w14:textFill>
        </w:rPr>
      </w:pPr>
      <w:r>
        <w:rPr>
          <w:rFonts w:hint="eastAsia"/>
          <w:bCs/>
          <w:color w:val="000000" w:themeColor="text1"/>
          <w:sz w:val="20"/>
          <w:szCs w:val="20"/>
          <w14:textFill>
            <w14:solidFill>
              <w14:schemeClr w14:val="tx1"/>
            </w14:solidFill>
          </w14:textFill>
        </w:rPr>
        <w:t xml:space="preserve">Note: Highlight part is updated base on the WF of last meeting </w:t>
      </w:r>
    </w:p>
    <w:p w14:paraId="2A8F0C8C">
      <w:pPr>
        <w:spacing w:before="120" w:after="120"/>
        <w:ind w:right="72"/>
        <w:jc w:val="center"/>
        <w:rPr>
          <w:rFonts w:eastAsia="宋体"/>
          <w:b/>
          <w:sz w:val="20"/>
          <w:szCs w:val="20"/>
          <w:lang w:eastAsia="en-US"/>
        </w:rPr>
      </w:pPr>
      <w:r>
        <w:rPr>
          <w:rFonts w:eastAsia="宋体"/>
          <w:b/>
          <w:sz w:val="20"/>
          <w:szCs w:val="20"/>
          <w:lang w:eastAsia="en-US"/>
        </w:rPr>
        <w:t>Table 1: General parameters</w:t>
      </w:r>
    </w:p>
    <w:tbl>
      <w:tblPr>
        <w:tblStyle w:val="20"/>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5595"/>
      </w:tblGrid>
      <w:tr w14:paraId="7CC5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586" w:type="dxa"/>
            <w:tcBorders>
              <w:top w:val="single" w:color="auto" w:sz="4" w:space="0"/>
              <w:left w:val="single" w:color="auto" w:sz="4" w:space="0"/>
              <w:bottom w:val="double" w:color="auto" w:sz="4" w:space="0"/>
              <w:right w:val="single" w:color="auto" w:sz="4" w:space="0"/>
            </w:tcBorders>
            <w:shd w:val="clear" w:color="auto" w:fill="auto"/>
          </w:tcPr>
          <w:p w14:paraId="74A32FEB">
            <w:pPr>
              <w:ind w:right="72"/>
              <w:jc w:val="center"/>
              <w:rPr>
                <w:rFonts w:eastAsia="宋体"/>
                <w:b/>
                <w:sz w:val="20"/>
                <w:szCs w:val="20"/>
                <w:lang w:val="en-GB" w:eastAsia="ja-JP"/>
              </w:rPr>
            </w:pPr>
            <w:r>
              <w:rPr>
                <w:rFonts w:eastAsia="宋体"/>
                <w:b/>
                <w:sz w:val="20"/>
                <w:szCs w:val="20"/>
                <w:lang w:val="en-GB" w:eastAsia="ja-JP"/>
              </w:rPr>
              <w:t>Simulation parameters</w:t>
            </w:r>
          </w:p>
        </w:tc>
        <w:tc>
          <w:tcPr>
            <w:tcW w:w="5595" w:type="dxa"/>
            <w:tcBorders>
              <w:top w:val="single" w:color="auto" w:sz="4" w:space="0"/>
              <w:left w:val="single" w:color="auto" w:sz="4" w:space="0"/>
              <w:bottom w:val="double" w:color="auto" w:sz="4" w:space="0"/>
              <w:right w:val="single" w:color="auto" w:sz="4" w:space="0"/>
            </w:tcBorders>
            <w:shd w:val="clear" w:color="auto" w:fill="auto"/>
          </w:tcPr>
          <w:p w14:paraId="1D36269B">
            <w:pPr>
              <w:ind w:right="72"/>
              <w:jc w:val="center"/>
              <w:rPr>
                <w:rFonts w:eastAsia="宋体"/>
                <w:b/>
                <w:sz w:val="20"/>
                <w:szCs w:val="20"/>
                <w:lang w:val="en-GB" w:eastAsia="ja-JP"/>
              </w:rPr>
            </w:pPr>
            <w:r>
              <w:rPr>
                <w:rFonts w:eastAsia="宋体"/>
                <w:b/>
                <w:sz w:val="20"/>
                <w:szCs w:val="20"/>
                <w:lang w:val="en-GB" w:eastAsia="ja-JP"/>
              </w:rPr>
              <w:t>Comments/values</w:t>
            </w:r>
          </w:p>
        </w:tc>
      </w:tr>
      <w:tr w14:paraId="7050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86" w:type="dxa"/>
            <w:tcBorders>
              <w:top w:val="double" w:color="auto" w:sz="4" w:space="0"/>
            </w:tcBorders>
            <w:shd w:val="clear" w:color="auto" w:fill="auto"/>
          </w:tcPr>
          <w:p w14:paraId="3C141A81">
            <w:pPr>
              <w:ind w:right="72"/>
              <w:jc w:val="center"/>
              <w:rPr>
                <w:rFonts w:eastAsia="宋体"/>
                <w:sz w:val="20"/>
                <w:szCs w:val="20"/>
                <w:lang w:val="en-GB" w:eastAsia="ja-JP"/>
              </w:rPr>
            </w:pPr>
            <w:r>
              <w:rPr>
                <w:rFonts w:eastAsia="宋体"/>
                <w:sz w:val="20"/>
                <w:szCs w:val="20"/>
                <w:lang w:val="en-GB" w:eastAsia="ja-JP"/>
              </w:rPr>
              <w:t>Carrier frequency for Cell 1 and Cell 2</w:t>
            </w:r>
          </w:p>
        </w:tc>
        <w:tc>
          <w:tcPr>
            <w:tcW w:w="5595" w:type="dxa"/>
            <w:tcBorders>
              <w:top w:val="double" w:color="auto" w:sz="4" w:space="0"/>
            </w:tcBorders>
            <w:shd w:val="clear" w:color="auto" w:fill="auto"/>
          </w:tcPr>
          <w:p w14:paraId="6048DC68">
            <w:pPr>
              <w:spacing w:before="100" w:beforeAutospacing="1"/>
              <w:ind w:right="74"/>
              <w:jc w:val="center"/>
              <w:rPr>
                <w:rFonts w:eastAsia="宋体"/>
                <w:sz w:val="20"/>
                <w:szCs w:val="20"/>
                <w:lang w:eastAsia="ja-JP"/>
              </w:rPr>
            </w:pPr>
            <w:r>
              <w:rPr>
                <w:rFonts w:eastAsia="宋体"/>
                <w:color w:val="000000"/>
                <w:sz w:val="20"/>
                <w:szCs w:val="20"/>
              </w:rPr>
              <w:t>2.6 GH</w:t>
            </w:r>
            <w:r>
              <w:rPr>
                <w:rFonts w:hint="eastAsia" w:eastAsia="宋体"/>
                <w:color w:val="000000"/>
                <w:sz w:val="20"/>
                <w:szCs w:val="20"/>
              </w:rPr>
              <w:t>z</w:t>
            </w:r>
          </w:p>
          <w:p w14:paraId="56E18107">
            <w:pPr>
              <w:ind w:right="72"/>
              <w:jc w:val="center"/>
              <w:rPr>
                <w:rFonts w:eastAsia="宋体"/>
                <w:sz w:val="20"/>
                <w:szCs w:val="20"/>
                <w:lang w:val="en-GB" w:eastAsia="ja-JP"/>
              </w:rPr>
            </w:pPr>
          </w:p>
        </w:tc>
      </w:tr>
      <w:tr w14:paraId="2307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23F7C8ED">
            <w:pPr>
              <w:ind w:right="72"/>
              <w:jc w:val="center"/>
              <w:rPr>
                <w:rFonts w:eastAsia="宋体"/>
                <w:sz w:val="20"/>
                <w:szCs w:val="20"/>
                <w:lang w:val="en-GB" w:eastAsia="ja-JP"/>
              </w:rPr>
            </w:pPr>
            <w:r>
              <w:rPr>
                <w:rFonts w:hint="eastAsia" w:eastAsia="宋体"/>
                <w:sz w:val="20"/>
                <w:szCs w:val="20"/>
                <w:lang w:val="en-GB" w:eastAsia="ja-JP"/>
              </w:rPr>
              <w:t>Prior knowledge of Cell 1 / Cell 2 by the UE</w:t>
            </w:r>
          </w:p>
          <w:p w14:paraId="3E41DC84">
            <w:pPr>
              <w:ind w:right="72"/>
              <w:jc w:val="center"/>
              <w:rPr>
                <w:rFonts w:eastAsia="宋体"/>
                <w:sz w:val="20"/>
                <w:szCs w:val="20"/>
                <w:lang w:val="en-GB" w:eastAsia="ja-JP"/>
              </w:rPr>
            </w:pPr>
          </w:p>
        </w:tc>
        <w:tc>
          <w:tcPr>
            <w:tcW w:w="5595" w:type="dxa"/>
            <w:shd w:val="clear" w:color="auto" w:fill="auto"/>
          </w:tcPr>
          <w:p w14:paraId="2DF8C206">
            <w:pPr>
              <w:ind w:right="72"/>
              <w:jc w:val="center"/>
              <w:rPr>
                <w:rFonts w:eastAsia="宋体"/>
                <w:sz w:val="20"/>
                <w:szCs w:val="20"/>
                <w:lang w:val="en-GB" w:eastAsia="ja-JP"/>
              </w:rPr>
            </w:pPr>
            <w:r>
              <w:rPr>
                <w:rFonts w:eastAsia="宋体"/>
                <w:sz w:val="20"/>
                <w:szCs w:val="20"/>
                <w:lang w:val="en-GB" w:eastAsia="ja-JP"/>
              </w:rPr>
              <w:t>I</w:t>
            </w:r>
            <w:r>
              <w:rPr>
                <w:rFonts w:hint="eastAsia" w:eastAsia="宋体"/>
                <w:sz w:val="20"/>
                <w:szCs w:val="20"/>
                <w:lang w:val="en-GB" w:eastAsia="ja-JP"/>
              </w:rPr>
              <w:t>nterfering cell</w:t>
            </w:r>
            <w:r>
              <w:rPr>
                <w:rFonts w:eastAsia="宋体"/>
                <w:sz w:val="20"/>
                <w:szCs w:val="20"/>
                <w:lang w:val="en-GB" w:eastAsia="ja-JP"/>
              </w:rPr>
              <w:t xml:space="preserve"> (</w:t>
            </w:r>
            <w:r>
              <w:rPr>
                <w:rFonts w:hint="eastAsia" w:eastAsia="宋体"/>
                <w:sz w:val="20"/>
                <w:szCs w:val="20"/>
                <w:lang w:val="en-GB" w:eastAsia="ja-JP"/>
              </w:rPr>
              <w:t>Cell 2</w:t>
            </w:r>
            <w:r>
              <w:rPr>
                <w:rFonts w:eastAsia="宋体"/>
                <w:sz w:val="20"/>
                <w:szCs w:val="20"/>
                <w:lang w:val="en-GB" w:eastAsia="ja-JP"/>
              </w:rPr>
              <w:t>)</w:t>
            </w:r>
            <w:r>
              <w:rPr>
                <w:rFonts w:hint="eastAsia" w:eastAsia="宋体"/>
                <w:sz w:val="20"/>
                <w:szCs w:val="20"/>
                <w:lang w:val="en-GB" w:eastAsia="ja-JP"/>
              </w:rPr>
              <w:t xml:space="preserve"> is not known to UE</w:t>
            </w:r>
          </w:p>
          <w:p w14:paraId="7FD6601B">
            <w:pPr>
              <w:ind w:right="72"/>
              <w:jc w:val="center"/>
              <w:rPr>
                <w:rFonts w:eastAsia="宋体"/>
                <w:sz w:val="20"/>
                <w:szCs w:val="20"/>
                <w:lang w:val="en-GB" w:eastAsia="ja-JP"/>
              </w:rPr>
            </w:pPr>
          </w:p>
        </w:tc>
      </w:tr>
      <w:tr w14:paraId="0D82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570E4CD2">
            <w:pPr>
              <w:ind w:right="72"/>
              <w:jc w:val="center"/>
              <w:rPr>
                <w:rFonts w:eastAsia="宋体"/>
                <w:sz w:val="20"/>
                <w:szCs w:val="20"/>
                <w:lang w:val="en-GB" w:eastAsia="ja-JP"/>
              </w:rPr>
            </w:pPr>
            <w:r>
              <w:rPr>
                <w:rFonts w:eastAsia="宋体"/>
                <w:sz w:val="20"/>
                <w:szCs w:val="20"/>
                <w:lang w:val="en-GB" w:eastAsia="ja-JP"/>
              </w:rPr>
              <w:t>DRX</w:t>
            </w:r>
          </w:p>
        </w:tc>
        <w:tc>
          <w:tcPr>
            <w:tcW w:w="5595" w:type="dxa"/>
            <w:shd w:val="clear" w:color="auto" w:fill="auto"/>
          </w:tcPr>
          <w:p w14:paraId="17EACEE3">
            <w:pPr>
              <w:ind w:right="72"/>
              <w:jc w:val="center"/>
              <w:rPr>
                <w:rFonts w:eastAsia="宋体"/>
                <w:sz w:val="20"/>
                <w:szCs w:val="20"/>
                <w:lang w:val="en-GB" w:eastAsia="ja-JP"/>
              </w:rPr>
            </w:pPr>
            <w:r>
              <w:rPr>
                <w:rFonts w:eastAsia="宋体"/>
                <w:sz w:val="20"/>
                <w:szCs w:val="20"/>
                <w:lang w:val="en-GB" w:eastAsia="ja-JP"/>
              </w:rPr>
              <w:t>No applicable for LP-WUR</w:t>
            </w:r>
          </w:p>
        </w:tc>
      </w:tr>
      <w:tr w14:paraId="0103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64FB3A5A">
            <w:pPr>
              <w:ind w:right="72"/>
              <w:jc w:val="center"/>
              <w:rPr>
                <w:rFonts w:eastAsia="宋体"/>
                <w:sz w:val="20"/>
                <w:szCs w:val="20"/>
                <w:lang w:val="en-GB" w:eastAsia="ja-JP"/>
              </w:rPr>
            </w:pPr>
            <w:r>
              <w:rPr>
                <w:rFonts w:hint="eastAsia" w:eastAsia="宋体"/>
                <w:sz w:val="20"/>
                <w:szCs w:val="20"/>
                <w:lang w:val="en-GB" w:eastAsia="ja-JP"/>
              </w:rPr>
              <w:t>BS transmit antennas</w:t>
            </w:r>
            <w:r>
              <w:rPr>
                <w:rFonts w:eastAsia="宋体"/>
                <w:sz w:val="20"/>
                <w:szCs w:val="20"/>
                <w:lang w:val="en-GB" w:eastAsia="ja-JP"/>
              </w:rPr>
              <w:t xml:space="preserve"> for LP-SS blocks</w:t>
            </w:r>
          </w:p>
        </w:tc>
        <w:tc>
          <w:tcPr>
            <w:tcW w:w="5595" w:type="dxa"/>
            <w:shd w:val="clear" w:color="auto" w:fill="auto"/>
          </w:tcPr>
          <w:p w14:paraId="4C5B0E44">
            <w:pPr>
              <w:ind w:right="72"/>
              <w:jc w:val="center"/>
              <w:rPr>
                <w:rFonts w:eastAsia="宋体"/>
                <w:sz w:val="20"/>
                <w:szCs w:val="20"/>
                <w:lang w:val="en-GB" w:eastAsia="ja-JP"/>
              </w:rPr>
            </w:pPr>
            <w:r>
              <w:rPr>
                <w:rFonts w:eastAsia="宋体"/>
                <w:sz w:val="20"/>
                <w:szCs w:val="20"/>
                <w:lang w:val="en-GB" w:eastAsia="ja-JP"/>
              </w:rPr>
              <w:t xml:space="preserve">1 Tx </w:t>
            </w:r>
          </w:p>
        </w:tc>
      </w:tr>
      <w:tr w14:paraId="4C37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5ACE6710">
            <w:pPr>
              <w:ind w:right="72"/>
              <w:jc w:val="center"/>
              <w:rPr>
                <w:rFonts w:eastAsia="宋体"/>
                <w:sz w:val="20"/>
                <w:szCs w:val="20"/>
                <w:lang w:val="en-GB" w:eastAsia="ja-JP"/>
              </w:rPr>
            </w:pPr>
            <w:r>
              <w:rPr>
                <w:rFonts w:eastAsia="宋体"/>
                <w:sz w:val="20"/>
                <w:szCs w:val="20"/>
                <w:lang w:val="en-GB" w:eastAsia="ja-JP"/>
              </w:rPr>
              <w:t>UE receive antennas</w:t>
            </w:r>
          </w:p>
        </w:tc>
        <w:tc>
          <w:tcPr>
            <w:tcW w:w="5595" w:type="dxa"/>
            <w:shd w:val="clear" w:color="auto" w:fill="auto"/>
          </w:tcPr>
          <w:p w14:paraId="2F830D8F">
            <w:pPr>
              <w:ind w:right="72"/>
              <w:jc w:val="center"/>
              <w:rPr>
                <w:rFonts w:eastAsia="宋体"/>
                <w:sz w:val="20"/>
                <w:szCs w:val="20"/>
                <w:lang w:val="en-GB" w:eastAsia="ja-JP"/>
              </w:rPr>
            </w:pPr>
            <w:r>
              <w:rPr>
                <w:rFonts w:eastAsia="宋体"/>
                <w:sz w:val="20"/>
                <w:szCs w:val="20"/>
                <w:lang w:val="en-GB" w:eastAsia="ja-JP"/>
              </w:rPr>
              <w:t xml:space="preserve">1 Rx </w:t>
            </w:r>
          </w:p>
        </w:tc>
      </w:tr>
      <w:tr w14:paraId="797F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vAlign w:val="center"/>
          </w:tcPr>
          <w:p w14:paraId="29E213FA">
            <w:pPr>
              <w:ind w:right="72"/>
              <w:jc w:val="center"/>
              <w:rPr>
                <w:rFonts w:eastAsia="宋体"/>
                <w:sz w:val="20"/>
                <w:szCs w:val="20"/>
                <w:lang w:val="en-GB" w:eastAsia="ja-JP"/>
              </w:rPr>
            </w:pPr>
            <w:r>
              <w:rPr>
                <w:rFonts w:eastAsia="宋体"/>
                <w:sz w:val="20"/>
                <w:szCs w:val="20"/>
                <w:lang w:val="en-GB" w:eastAsia="ja-JP"/>
              </w:rPr>
              <w:t>Data and control channel subcarrier spacing</w:t>
            </w:r>
          </w:p>
        </w:tc>
        <w:tc>
          <w:tcPr>
            <w:tcW w:w="5595" w:type="dxa"/>
            <w:shd w:val="clear" w:color="auto" w:fill="auto"/>
          </w:tcPr>
          <w:p w14:paraId="14F85264">
            <w:pPr>
              <w:ind w:right="72"/>
              <w:jc w:val="center"/>
              <w:rPr>
                <w:rFonts w:eastAsia="宋体"/>
                <w:sz w:val="20"/>
                <w:szCs w:val="20"/>
                <w:lang w:val="en-GB" w:eastAsia="ja-JP"/>
              </w:rPr>
            </w:pPr>
            <w:r>
              <w:rPr>
                <w:rFonts w:eastAsia="宋体"/>
                <w:sz w:val="20"/>
                <w:szCs w:val="20"/>
                <w:lang w:val="en-GB" w:eastAsia="ja-JP"/>
              </w:rPr>
              <w:t>Data, SSB and LP-SS have the same SCS</w:t>
            </w:r>
          </w:p>
        </w:tc>
      </w:tr>
      <w:tr w14:paraId="21E0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2090CE73">
            <w:pPr>
              <w:ind w:right="72"/>
              <w:jc w:val="center"/>
              <w:rPr>
                <w:rFonts w:eastAsia="宋体"/>
                <w:sz w:val="20"/>
                <w:szCs w:val="20"/>
                <w:lang w:val="en-GB" w:eastAsia="ja-JP"/>
              </w:rPr>
            </w:pPr>
            <w:r>
              <w:rPr>
                <w:rFonts w:eastAsia="宋体"/>
                <w:sz w:val="20"/>
                <w:szCs w:val="20"/>
                <w:lang w:val="en-GB" w:eastAsia="ja-JP"/>
              </w:rPr>
              <w:t>Subcarrier spacing</w:t>
            </w:r>
          </w:p>
        </w:tc>
        <w:tc>
          <w:tcPr>
            <w:tcW w:w="5595" w:type="dxa"/>
            <w:shd w:val="clear" w:color="auto" w:fill="auto"/>
          </w:tcPr>
          <w:p w14:paraId="41D0721B">
            <w:pPr>
              <w:ind w:right="72"/>
              <w:jc w:val="center"/>
              <w:rPr>
                <w:rFonts w:eastAsia="宋体"/>
                <w:sz w:val="20"/>
                <w:szCs w:val="20"/>
                <w:lang w:val="en-GB" w:eastAsia="ja-JP"/>
              </w:rPr>
            </w:pPr>
            <w:r>
              <w:rPr>
                <w:rFonts w:eastAsia="宋体"/>
                <w:sz w:val="20"/>
                <w:szCs w:val="20"/>
                <w:lang w:val="en-GB" w:eastAsia="ja-JP"/>
              </w:rPr>
              <w:t>30</w:t>
            </w:r>
            <w:r>
              <w:rPr>
                <w:rFonts w:hint="eastAsia" w:eastAsia="宋体"/>
                <w:sz w:val="20"/>
                <w:szCs w:val="20"/>
              </w:rPr>
              <w:t>k</w:t>
            </w:r>
            <w:r>
              <w:rPr>
                <w:rFonts w:eastAsia="宋体"/>
                <w:sz w:val="20"/>
                <w:szCs w:val="20"/>
                <w:lang w:val="en-GB" w:eastAsia="ja-JP"/>
              </w:rPr>
              <w:t>Hz</w:t>
            </w:r>
          </w:p>
        </w:tc>
      </w:tr>
      <w:tr w14:paraId="45FA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vAlign w:val="center"/>
          </w:tcPr>
          <w:p w14:paraId="3E94D5D4">
            <w:pPr>
              <w:ind w:right="72"/>
              <w:jc w:val="center"/>
              <w:rPr>
                <w:rFonts w:eastAsia="宋体"/>
                <w:sz w:val="20"/>
                <w:szCs w:val="20"/>
                <w:lang w:val="en-GB" w:eastAsia="ja-JP"/>
              </w:rPr>
            </w:pPr>
            <w:r>
              <w:rPr>
                <w:rFonts w:eastAsia="宋体"/>
                <w:sz w:val="20"/>
                <w:szCs w:val="20"/>
                <w:lang w:val="en-GB" w:eastAsia="ja-JP"/>
              </w:rPr>
              <w:t>Measurement period (in number of measurement samples)</w:t>
            </w:r>
          </w:p>
        </w:tc>
        <w:tc>
          <w:tcPr>
            <w:tcW w:w="5595" w:type="dxa"/>
            <w:shd w:val="clear" w:color="auto" w:fill="auto"/>
          </w:tcPr>
          <w:p w14:paraId="5912FA70">
            <w:pPr>
              <w:ind w:right="72"/>
              <w:jc w:val="center"/>
              <w:rPr>
                <w:rFonts w:eastAsia="宋体"/>
                <w:sz w:val="20"/>
                <w:szCs w:val="20"/>
                <w:lang w:val="en-GB" w:eastAsia="ja-JP"/>
              </w:rPr>
            </w:pPr>
            <w:r>
              <w:rPr>
                <w:rFonts w:eastAsia="宋体"/>
                <w:sz w:val="20"/>
                <w:szCs w:val="20"/>
                <w:lang w:val="en-GB" w:eastAsia="ja-JP"/>
              </w:rPr>
              <w:t xml:space="preserve"> [</w:t>
            </w:r>
            <w:r>
              <w:rPr>
                <w:rFonts w:hint="eastAsia" w:eastAsia="宋体"/>
                <w:sz w:val="20"/>
                <w:szCs w:val="20"/>
              </w:rPr>
              <w:t xml:space="preserve">3, </w:t>
            </w:r>
            <w:r>
              <w:rPr>
                <w:rFonts w:eastAsia="宋体"/>
                <w:sz w:val="20"/>
                <w:szCs w:val="20"/>
                <w:lang w:val="en-GB" w:eastAsia="ja-JP"/>
              </w:rPr>
              <w:t>4, 5]</w:t>
            </w:r>
          </w:p>
        </w:tc>
      </w:tr>
      <w:tr w14:paraId="2AAF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586" w:type="dxa"/>
            <w:shd w:val="clear" w:color="auto" w:fill="auto"/>
          </w:tcPr>
          <w:p w14:paraId="7E0009D5">
            <w:pPr>
              <w:ind w:right="72"/>
              <w:jc w:val="center"/>
              <w:rPr>
                <w:rFonts w:eastAsia="宋体"/>
                <w:sz w:val="20"/>
                <w:szCs w:val="20"/>
                <w:lang w:val="en-GB" w:eastAsia="ja-JP"/>
              </w:rPr>
            </w:pPr>
            <w:r>
              <w:rPr>
                <w:rFonts w:hint="eastAsia" w:eastAsia="宋体"/>
                <w:sz w:val="20"/>
                <w:szCs w:val="20"/>
                <w:lang w:val="en-GB" w:eastAsia="ja-JP"/>
              </w:rPr>
              <w:t>LP</w:t>
            </w:r>
            <w:r>
              <w:rPr>
                <w:rFonts w:eastAsia="宋体"/>
                <w:sz w:val="20"/>
                <w:szCs w:val="20"/>
                <w:lang w:val="en-GB" w:eastAsia="ja-JP"/>
              </w:rPr>
              <w:t>-SS/SSB measurement interval</w:t>
            </w:r>
          </w:p>
        </w:tc>
        <w:tc>
          <w:tcPr>
            <w:tcW w:w="5595" w:type="dxa"/>
            <w:shd w:val="clear" w:color="auto" w:fill="auto"/>
          </w:tcPr>
          <w:p w14:paraId="22E890C1">
            <w:pPr>
              <w:ind w:right="72"/>
              <w:jc w:val="center"/>
              <w:rPr>
                <w:rFonts w:eastAsia="宋体"/>
                <w:sz w:val="20"/>
                <w:szCs w:val="20"/>
                <w:lang w:val="en-GB" w:eastAsia="ja-JP"/>
              </w:rPr>
            </w:pPr>
            <w:r>
              <w:rPr>
                <w:rFonts w:eastAsia="宋体"/>
                <w:sz w:val="20"/>
                <w:szCs w:val="20"/>
                <w:lang w:val="en-GB" w:eastAsia="ja-JP"/>
              </w:rPr>
              <w:t>LP-SS: 320 ms</w:t>
            </w:r>
          </w:p>
          <w:p w14:paraId="663B6A3B">
            <w:pPr>
              <w:ind w:right="72"/>
              <w:jc w:val="center"/>
              <w:rPr>
                <w:rFonts w:eastAsia="宋体"/>
                <w:sz w:val="20"/>
                <w:szCs w:val="20"/>
                <w:lang w:val="en-GB" w:eastAsia="ja-JP"/>
              </w:rPr>
            </w:pPr>
            <w:r>
              <w:rPr>
                <w:rFonts w:eastAsia="宋体"/>
                <w:sz w:val="20"/>
                <w:szCs w:val="20"/>
                <w:lang w:val="en-GB" w:eastAsia="ja-JP"/>
              </w:rPr>
              <w:t xml:space="preserve">SSB: 320 ms </w:t>
            </w:r>
          </w:p>
        </w:tc>
      </w:tr>
      <w:tr w14:paraId="5355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27357E06">
            <w:pPr>
              <w:ind w:right="72"/>
              <w:jc w:val="center"/>
              <w:rPr>
                <w:rFonts w:eastAsia="宋体"/>
                <w:sz w:val="20"/>
                <w:szCs w:val="20"/>
                <w:lang w:val="en-GB" w:eastAsia="ja-JP"/>
              </w:rPr>
            </w:pPr>
            <w:r>
              <w:rPr>
                <w:rFonts w:hint="eastAsia" w:eastAsia="宋体"/>
                <w:sz w:val="20"/>
                <w:szCs w:val="20"/>
                <w:lang w:val="en-GB" w:eastAsia="ja-JP"/>
              </w:rPr>
              <w:t>LP</w:t>
            </w:r>
            <w:r>
              <w:rPr>
                <w:rFonts w:eastAsia="宋体"/>
                <w:sz w:val="20"/>
                <w:szCs w:val="20"/>
                <w:lang w:val="en-GB" w:eastAsia="ja-JP"/>
              </w:rPr>
              <w:t>-SS BW</w:t>
            </w:r>
          </w:p>
        </w:tc>
        <w:tc>
          <w:tcPr>
            <w:tcW w:w="5595" w:type="dxa"/>
            <w:shd w:val="clear" w:color="auto" w:fill="auto"/>
          </w:tcPr>
          <w:p w14:paraId="3B6CC348">
            <w:pPr>
              <w:ind w:left="360" w:right="72"/>
              <w:jc w:val="center"/>
              <w:rPr>
                <w:rFonts w:eastAsia="宋体"/>
                <w:sz w:val="20"/>
                <w:szCs w:val="20"/>
                <w:lang w:val="en-GB" w:eastAsia="ja-JP"/>
              </w:rPr>
            </w:pPr>
            <w:r>
              <w:rPr>
                <w:rFonts w:eastAsia="宋体"/>
                <w:sz w:val="20"/>
                <w:szCs w:val="20"/>
                <w:lang w:val="en-GB" w:eastAsia="ja-JP"/>
              </w:rPr>
              <w:t xml:space="preserve">132 subcarriers for </w:t>
            </w:r>
            <w:r>
              <w:rPr>
                <w:rFonts w:hint="eastAsia" w:eastAsia="宋体"/>
                <w:sz w:val="20"/>
                <w:szCs w:val="20"/>
                <w:lang w:val="en-GB" w:eastAsia="ja-JP"/>
              </w:rPr>
              <w:t>SCS</w:t>
            </w:r>
            <w:r>
              <w:rPr>
                <w:rFonts w:eastAsia="宋体"/>
                <w:sz w:val="20"/>
                <w:szCs w:val="20"/>
                <w:lang w:val="en-GB" w:eastAsia="ja-JP"/>
              </w:rPr>
              <w:t>=30</w:t>
            </w:r>
            <w:r>
              <w:rPr>
                <w:rFonts w:hint="eastAsia" w:eastAsia="宋体"/>
                <w:sz w:val="20"/>
                <w:szCs w:val="20"/>
                <w:lang w:val="en-GB" w:eastAsia="ja-JP"/>
              </w:rPr>
              <w:t>kHz</w:t>
            </w:r>
            <w:r>
              <w:rPr>
                <w:rFonts w:eastAsia="宋体"/>
                <w:sz w:val="20"/>
                <w:szCs w:val="20"/>
                <w:lang w:val="en-GB" w:eastAsia="ja-JP"/>
              </w:rPr>
              <w:t xml:space="preserve"> for LP-SS initially</w:t>
            </w:r>
          </w:p>
        </w:tc>
      </w:tr>
      <w:tr w14:paraId="1AEB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7D93C396">
            <w:pPr>
              <w:ind w:right="72"/>
              <w:jc w:val="center"/>
              <w:rPr>
                <w:rFonts w:eastAsia="宋体"/>
                <w:sz w:val="20"/>
                <w:szCs w:val="20"/>
                <w:lang w:val="en-GB" w:eastAsia="ja-JP"/>
              </w:rPr>
            </w:pPr>
            <w:r>
              <w:rPr>
                <w:rFonts w:eastAsia="宋体"/>
                <w:sz w:val="20"/>
                <w:szCs w:val="20"/>
                <w:lang w:val="en-GB" w:eastAsia="ja-JP"/>
              </w:rPr>
              <w:t xml:space="preserve">SSS </w:t>
            </w:r>
          </w:p>
        </w:tc>
        <w:tc>
          <w:tcPr>
            <w:tcW w:w="5595" w:type="dxa"/>
            <w:shd w:val="clear" w:color="auto" w:fill="auto"/>
          </w:tcPr>
          <w:p w14:paraId="4A424F4A">
            <w:pPr>
              <w:ind w:left="360" w:right="72"/>
              <w:jc w:val="center"/>
              <w:rPr>
                <w:rFonts w:eastAsia="宋体"/>
                <w:sz w:val="20"/>
                <w:szCs w:val="20"/>
                <w:lang w:val="en-GB" w:eastAsia="ja-JP"/>
              </w:rPr>
            </w:pPr>
            <w:r>
              <w:rPr>
                <w:rFonts w:eastAsia="宋体"/>
                <w:sz w:val="20"/>
                <w:szCs w:val="20"/>
                <w:lang w:val="en-GB" w:eastAsia="ja-JP"/>
              </w:rPr>
              <w:t>30KHz for SSS</w:t>
            </w:r>
          </w:p>
        </w:tc>
      </w:tr>
      <w:tr w14:paraId="6DDE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4DC8E033">
            <w:pPr>
              <w:ind w:right="72"/>
              <w:jc w:val="center"/>
              <w:rPr>
                <w:rFonts w:eastAsia="宋体"/>
                <w:sz w:val="20"/>
                <w:szCs w:val="20"/>
                <w:lang w:val="en-GB" w:eastAsia="ja-JP"/>
              </w:rPr>
            </w:pPr>
            <w:r>
              <w:rPr>
                <w:rFonts w:eastAsia="宋体"/>
                <w:sz w:val="20"/>
                <w:szCs w:val="20"/>
                <w:lang w:val="en-GB" w:eastAsia="ja-JP"/>
              </w:rPr>
              <w:t xml:space="preserve">Actual </w:t>
            </w:r>
            <w:r>
              <w:rPr>
                <w:rFonts w:hint="eastAsia" w:eastAsia="宋体"/>
                <w:sz w:val="20"/>
                <w:szCs w:val="20"/>
                <w:lang w:val="en-GB" w:eastAsia="ja-JP"/>
              </w:rPr>
              <w:t>LP</w:t>
            </w:r>
            <w:r>
              <w:rPr>
                <w:rFonts w:eastAsia="宋体"/>
                <w:sz w:val="20"/>
                <w:szCs w:val="20"/>
                <w:lang w:val="en-GB" w:eastAsia="ja-JP"/>
              </w:rPr>
              <w:t>-SS transmissions</w:t>
            </w:r>
          </w:p>
        </w:tc>
        <w:tc>
          <w:tcPr>
            <w:tcW w:w="5595" w:type="dxa"/>
            <w:shd w:val="clear" w:color="auto" w:fill="auto"/>
          </w:tcPr>
          <w:p w14:paraId="335D4AB2">
            <w:pPr>
              <w:ind w:right="72"/>
              <w:jc w:val="center"/>
              <w:rPr>
                <w:rFonts w:eastAsia="宋体"/>
                <w:sz w:val="20"/>
                <w:szCs w:val="20"/>
                <w:lang w:val="en-GB" w:eastAsia="ja-JP"/>
              </w:rPr>
            </w:pPr>
            <w:r>
              <w:rPr>
                <w:rFonts w:eastAsia="宋体"/>
                <w:sz w:val="20"/>
                <w:szCs w:val="20"/>
                <w:lang w:val="en-GB" w:eastAsia="ja-JP"/>
              </w:rPr>
              <w:t>always transmitted</w:t>
            </w:r>
          </w:p>
        </w:tc>
      </w:tr>
      <w:tr w14:paraId="0AC89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auto"/>
          </w:tcPr>
          <w:p w14:paraId="081607F1">
            <w:pPr>
              <w:ind w:right="72"/>
              <w:jc w:val="center"/>
              <w:rPr>
                <w:rFonts w:eastAsia="宋体"/>
                <w:sz w:val="20"/>
                <w:szCs w:val="20"/>
                <w:lang w:val="en-GB" w:eastAsia="ja-JP"/>
              </w:rPr>
            </w:pPr>
            <w:r>
              <w:rPr>
                <w:rFonts w:eastAsia="宋体"/>
                <w:sz w:val="20"/>
                <w:szCs w:val="20"/>
                <w:lang w:val="en-GB" w:eastAsia="ja-JP"/>
              </w:rPr>
              <w:t>Guard band</w:t>
            </w:r>
          </w:p>
        </w:tc>
        <w:tc>
          <w:tcPr>
            <w:tcW w:w="5595" w:type="dxa"/>
            <w:shd w:val="clear" w:color="auto" w:fill="auto"/>
          </w:tcPr>
          <w:p w14:paraId="4D8A6815">
            <w:pPr>
              <w:ind w:right="72"/>
              <w:jc w:val="center"/>
              <w:rPr>
                <w:rFonts w:eastAsia="宋体"/>
                <w:sz w:val="20"/>
                <w:szCs w:val="20"/>
                <w:lang w:val="en-GB" w:eastAsia="ja-JP"/>
              </w:rPr>
            </w:pPr>
            <w:r>
              <w:rPr>
                <w:rFonts w:eastAsia="宋体"/>
                <w:sz w:val="20"/>
                <w:szCs w:val="20"/>
                <w:lang w:val="en-GB" w:eastAsia="ja-JP"/>
              </w:rPr>
              <w:t>1 RB on each side of LP-SS/LP-WUS signal</w:t>
            </w:r>
          </w:p>
        </w:tc>
      </w:tr>
    </w:tbl>
    <w:p w14:paraId="4F7DC25D">
      <w:pPr>
        <w:spacing w:after="180"/>
        <w:rPr>
          <w:rFonts w:eastAsia="宋体"/>
          <w:sz w:val="20"/>
          <w:szCs w:val="20"/>
          <w:lang w:val="en-GB" w:eastAsia="en-US"/>
        </w:rPr>
      </w:pPr>
    </w:p>
    <w:p w14:paraId="08F7C680">
      <w:pPr>
        <w:keepNext/>
        <w:keepLines/>
        <w:spacing w:before="60" w:after="60"/>
        <w:ind w:right="72"/>
        <w:jc w:val="center"/>
        <w:rPr>
          <w:rFonts w:ascii="Arial" w:hAnsi="Arial" w:eastAsia="宋体"/>
          <w:b/>
          <w:sz w:val="20"/>
          <w:szCs w:val="20"/>
          <w:lang w:val="zh-CN" w:eastAsia="en-US"/>
        </w:rPr>
      </w:pPr>
      <w:r>
        <w:rPr>
          <w:rFonts w:ascii="Arial" w:hAnsi="Arial" w:eastAsia="宋体"/>
          <w:b/>
          <w:sz w:val="20"/>
          <w:szCs w:val="20"/>
          <w:lang w:val="zh-CN" w:eastAsia="en-US"/>
        </w:rPr>
        <w:t>Table 2: Cell-specific parameters</w:t>
      </w:r>
    </w:p>
    <w:tbl>
      <w:tblPr>
        <w:tblStyle w:val="20"/>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243"/>
        <w:gridCol w:w="2628"/>
        <w:gridCol w:w="2529"/>
      </w:tblGrid>
      <w:tr w14:paraId="19D9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2134" w:type="dxa"/>
            <w:tcBorders>
              <w:top w:val="single" w:color="auto" w:sz="4" w:space="0"/>
              <w:left w:val="single" w:color="auto" w:sz="4" w:space="0"/>
              <w:bottom w:val="double" w:color="auto" w:sz="4" w:space="0"/>
              <w:right w:val="single" w:color="auto" w:sz="4" w:space="0"/>
            </w:tcBorders>
            <w:vAlign w:val="center"/>
          </w:tcPr>
          <w:p w14:paraId="10525901">
            <w:pPr>
              <w:keepNext/>
              <w:keepLines/>
              <w:ind w:right="72"/>
              <w:jc w:val="center"/>
              <w:rPr>
                <w:rFonts w:ascii="Arial" w:hAnsi="Arial" w:eastAsia="宋体"/>
                <w:b/>
                <w:sz w:val="20"/>
                <w:szCs w:val="20"/>
                <w:lang w:eastAsia="en-US"/>
              </w:rPr>
            </w:pPr>
            <w:r>
              <w:rPr>
                <w:rFonts w:ascii="Arial" w:hAnsi="Arial" w:eastAsia="宋体"/>
                <w:b/>
                <w:sz w:val="20"/>
                <w:szCs w:val="20"/>
                <w:lang w:eastAsia="en-US"/>
              </w:rPr>
              <w:t>Parameter</w:t>
            </w:r>
          </w:p>
        </w:tc>
        <w:tc>
          <w:tcPr>
            <w:tcW w:w="1243" w:type="dxa"/>
            <w:tcBorders>
              <w:top w:val="single" w:color="auto" w:sz="4" w:space="0"/>
              <w:left w:val="single" w:color="auto" w:sz="4" w:space="0"/>
              <w:bottom w:val="double" w:color="auto" w:sz="4" w:space="0"/>
              <w:right w:val="single" w:color="auto" w:sz="4" w:space="0"/>
            </w:tcBorders>
            <w:vAlign w:val="center"/>
          </w:tcPr>
          <w:p w14:paraId="4273C1FE">
            <w:pPr>
              <w:keepNext/>
              <w:keepLines/>
              <w:ind w:right="72"/>
              <w:jc w:val="center"/>
              <w:rPr>
                <w:rFonts w:ascii="Arial" w:hAnsi="Arial" w:eastAsia="宋体"/>
                <w:b/>
                <w:sz w:val="20"/>
                <w:szCs w:val="20"/>
                <w:lang w:eastAsia="en-US"/>
              </w:rPr>
            </w:pPr>
            <w:r>
              <w:rPr>
                <w:rFonts w:ascii="Arial" w:hAnsi="Arial" w:eastAsia="宋体"/>
                <w:b/>
                <w:sz w:val="20"/>
                <w:szCs w:val="20"/>
                <w:lang w:eastAsia="en-US"/>
              </w:rPr>
              <w:t>Unit</w:t>
            </w:r>
          </w:p>
        </w:tc>
        <w:tc>
          <w:tcPr>
            <w:tcW w:w="2628" w:type="dxa"/>
            <w:tcBorders>
              <w:top w:val="single" w:color="auto" w:sz="4" w:space="0"/>
              <w:left w:val="single" w:color="auto" w:sz="4" w:space="0"/>
              <w:bottom w:val="double" w:color="auto" w:sz="4" w:space="0"/>
              <w:right w:val="single" w:color="auto" w:sz="4" w:space="0"/>
            </w:tcBorders>
            <w:vAlign w:val="center"/>
          </w:tcPr>
          <w:p w14:paraId="78FD1802">
            <w:pPr>
              <w:keepNext/>
              <w:keepLines/>
              <w:ind w:right="72"/>
              <w:jc w:val="center"/>
              <w:rPr>
                <w:rFonts w:ascii="Arial" w:hAnsi="Arial" w:eastAsia="宋体"/>
                <w:b/>
                <w:sz w:val="20"/>
                <w:szCs w:val="20"/>
                <w:lang w:eastAsia="en-US"/>
              </w:rPr>
            </w:pPr>
            <w:r>
              <w:rPr>
                <w:rFonts w:ascii="Arial" w:hAnsi="Arial" w:eastAsia="宋体"/>
                <w:b/>
                <w:sz w:val="20"/>
                <w:szCs w:val="20"/>
                <w:lang w:eastAsia="en-US"/>
              </w:rPr>
              <w:t>Cell 1</w:t>
            </w:r>
          </w:p>
        </w:tc>
        <w:tc>
          <w:tcPr>
            <w:tcW w:w="2529" w:type="dxa"/>
            <w:tcBorders>
              <w:top w:val="single" w:color="auto" w:sz="4" w:space="0"/>
              <w:left w:val="single" w:color="auto" w:sz="4" w:space="0"/>
              <w:bottom w:val="double" w:color="auto" w:sz="4" w:space="0"/>
              <w:right w:val="single" w:color="auto" w:sz="4" w:space="0"/>
            </w:tcBorders>
            <w:vAlign w:val="center"/>
          </w:tcPr>
          <w:p w14:paraId="68D2A994">
            <w:pPr>
              <w:keepNext/>
              <w:keepLines/>
              <w:ind w:right="72"/>
              <w:jc w:val="center"/>
              <w:rPr>
                <w:rFonts w:ascii="Arial" w:hAnsi="Arial" w:eastAsia="宋体"/>
                <w:b/>
                <w:sz w:val="20"/>
                <w:szCs w:val="20"/>
                <w:lang w:eastAsia="en-US"/>
              </w:rPr>
            </w:pPr>
            <w:r>
              <w:rPr>
                <w:rFonts w:ascii="Arial" w:hAnsi="Arial" w:eastAsia="宋体"/>
                <w:b/>
                <w:sz w:val="20"/>
                <w:szCs w:val="20"/>
                <w:lang w:eastAsia="en-US"/>
              </w:rPr>
              <w:t>Cell 2</w:t>
            </w:r>
          </w:p>
        </w:tc>
      </w:tr>
      <w:tr w14:paraId="24FF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double" w:color="auto" w:sz="4" w:space="0"/>
              <w:left w:val="single" w:color="auto" w:sz="4" w:space="0"/>
              <w:bottom w:val="single" w:color="auto" w:sz="4" w:space="0"/>
              <w:right w:val="single" w:color="auto" w:sz="4" w:space="0"/>
            </w:tcBorders>
            <w:vAlign w:val="center"/>
          </w:tcPr>
          <w:p w14:paraId="6C6513A2">
            <w:pPr>
              <w:ind w:right="72"/>
              <w:rPr>
                <w:rFonts w:eastAsia="宋体"/>
                <w:sz w:val="20"/>
                <w:szCs w:val="20"/>
                <w:lang w:val="it-IT" w:eastAsia="en-US"/>
              </w:rPr>
            </w:pPr>
            <w:r>
              <w:rPr>
                <w:rFonts w:eastAsia="宋体"/>
                <w:sz w:val="20"/>
                <w:szCs w:val="20"/>
                <w:lang w:val="it-IT" w:eastAsia="en-US"/>
              </w:rPr>
              <w:t>RF Channel number</w:t>
            </w:r>
          </w:p>
        </w:tc>
        <w:tc>
          <w:tcPr>
            <w:tcW w:w="1243" w:type="dxa"/>
            <w:tcBorders>
              <w:top w:val="double" w:color="auto" w:sz="4" w:space="0"/>
              <w:left w:val="single" w:color="auto" w:sz="4" w:space="0"/>
              <w:bottom w:val="single" w:color="auto" w:sz="4" w:space="0"/>
              <w:right w:val="single" w:color="auto" w:sz="4" w:space="0"/>
            </w:tcBorders>
            <w:vAlign w:val="center"/>
          </w:tcPr>
          <w:p w14:paraId="272FA7A1">
            <w:pPr>
              <w:ind w:right="72"/>
              <w:rPr>
                <w:rFonts w:eastAsia="宋体"/>
                <w:sz w:val="20"/>
                <w:szCs w:val="20"/>
                <w:lang w:val="it-IT" w:eastAsia="en-US"/>
              </w:rPr>
            </w:pPr>
            <w:r>
              <w:rPr>
                <w:rFonts w:eastAsia="宋体"/>
                <w:sz w:val="20"/>
                <w:szCs w:val="20"/>
                <w:lang w:val="it-IT" w:eastAsia="en-US"/>
              </w:rPr>
              <w:t>-</w:t>
            </w:r>
          </w:p>
        </w:tc>
        <w:tc>
          <w:tcPr>
            <w:tcW w:w="2628" w:type="dxa"/>
            <w:tcBorders>
              <w:top w:val="double" w:color="auto" w:sz="4" w:space="0"/>
              <w:left w:val="single" w:color="auto" w:sz="4" w:space="0"/>
              <w:bottom w:val="single" w:color="auto" w:sz="4" w:space="0"/>
              <w:right w:val="single" w:color="auto" w:sz="4" w:space="0"/>
            </w:tcBorders>
            <w:vAlign w:val="center"/>
          </w:tcPr>
          <w:p w14:paraId="1CE1E5C2">
            <w:pPr>
              <w:ind w:right="72"/>
              <w:rPr>
                <w:rFonts w:eastAsia="宋体"/>
                <w:sz w:val="20"/>
                <w:szCs w:val="20"/>
                <w:lang w:val="it-IT" w:eastAsia="en-US"/>
              </w:rPr>
            </w:pPr>
            <w:r>
              <w:rPr>
                <w:rFonts w:eastAsia="宋体"/>
                <w:sz w:val="20"/>
                <w:szCs w:val="20"/>
                <w:lang w:val="it-IT" w:eastAsia="en-US"/>
              </w:rPr>
              <w:t>Channel 1</w:t>
            </w:r>
          </w:p>
        </w:tc>
        <w:tc>
          <w:tcPr>
            <w:tcW w:w="2529" w:type="dxa"/>
            <w:tcBorders>
              <w:top w:val="double" w:color="auto" w:sz="4" w:space="0"/>
              <w:left w:val="single" w:color="auto" w:sz="4" w:space="0"/>
              <w:bottom w:val="single" w:color="auto" w:sz="4" w:space="0"/>
              <w:right w:val="single" w:color="auto" w:sz="4" w:space="0"/>
            </w:tcBorders>
            <w:vAlign w:val="center"/>
          </w:tcPr>
          <w:p w14:paraId="589C5412">
            <w:pPr>
              <w:ind w:right="72"/>
              <w:rPr>
                <w:rFonts w:eastAsia="宋体"/>
                <w:sz w:val="20"/>
                <w:szCs w:val="20"/>
                <w:lang w:val="it-IT" w:eastAsia="en-US"/>
              </w:rPr>
            </w:pPr>
            <w:r>
              <w:rPr>
                <w:rFonts w:eastAsia="宋体"/>
                <w:sz w:val="20"/>
                <w:szCs w:val="20"/>
                <w:lang w:val="it-IT" w:eastAsia="en-US"/>
              </w:rPr>
              <w:t>Channel 1</w:t>
            </w:r>
          </w:p>
        </w:tc>
      </w:tr>
      <w:tr w14:paraId="4442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5CF5BF4C">
            <w:pPr>
              <w:ind w:right="72"/>
              <w:rPr>
                <w:rFonts w:eastAsia="宋体"/>
                <w:sz w:val="20"/>
                <w:szCs w:val="20"/>
                <w:lang w:val="it-IT" w:eastAsia="en-US"/>
              </w:rPr>
            </w:pPr>
            <w:r>
              <w:rPr>
                <w:rFonts w:eastAsia="宋体"/>
                <w:sz w:val="20"/>
                <w:szCs w:val="20"/>
                <w:lang w:val="it-IT" w:eastAsia="en-US"/>
              </w:rPr>
              <w:t>NR-PSS, NR-SSS (OFDM based LP-WUR)</w:t>
            </w:r>
          </w:p>
        </w:tc>
        <w:tc>
          <w:tcPr>
            <w:tcW w:w="1243" w:type="dxa"/>
            <w:tcBorders>
              <w:top w:val="single" w:color="auto" w:sz="4" w:space="0"/>
              <w:left w:val="single" w:color="auto" w:sz="4" w:space="0"/>
              <w:bottom w:val="single" w:color="auto" w:sz="4" w:space="0"/>
              <w:right w:val="single" w:color="auto" w:sz="4" w:space="0"/>
            </w:tcBorders>
            <w:vAlign w:val="center"/>
          </w:tcPr>
          <w:p w14:paraId="0A6B9556">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7C231AB7">
            <w:pPr>
              <w:ind w:right="72"/>
              <w:rPr>
                <w:rFonts w:eastAsia="宋体"/>
                <w:sz w:val="20"/>
                <w:szCs w:val="20"/>
                <w:lang w:val="it-IT" w:eastAsia="en-US"/>
              </w:rPr>
            </w:pPr>
            <w:r>
              <w:rPr>
                <w:rFonts w:eastAsia="宋体"/>
                <w:sz w:val="20"/>
                <w:szCs w:val="20"/>
                <w:lang w:val="it-IT" w:eastAsia="en-US"/>
              </w:rPr>
              <w:t xml:space="preserve">To be indicated by companies </w:t>
            </w:r>
          </w:p>
        </w:tc>
        <w:tc>
          <w:tcPr>
            <w:tcW w:w="2529" w:type="dxa"/>
            <w:tcBorders>
              <w:top w:val="single" w:color="auto" w:sz="4" w:space="0"/>
              <w:left w:val="single" w:color="auto" w:sz="4" w:space="0"/>
              <w:bottom w:val="single" w:color="auto" w:sz="4" w:space="0"/>
              <w:right w:val="single" w:color="auto" w:sz="4" w:space="0"/>
            </w:tcBorders>
            <w:vAlign w:val="center"/>
          </w:tcPr>
          <w:p w14:paraId="49C2852E">
            <w:pPr>
              <w:ind w:right="72"/>
              <w:rPr>
                <w:rFonts w:eastAsia="宋体"/>
                <w:sz w:val="20"/>
                <w:szCs w:val="20"/>
                <w:lang w:val="it-IT" w:eastAsia="en-US"/>
              </w:rPr>
            </w:pPr>
            <w:r>
              <w:rPr>
                <w:rFonts w:eastAsia="宋体"/>
                <w:sz w:val="20"/>
                <w:szCs w:val="20"/>
                <w:lang w:val="it-IT" w:eastAsia="en-US"/>
              </w:rPr>
              <w:t>To be indicated by companies</w:t>
            </w:r>
          </w:p>
        </w:tc>
      </w:tr>
      <w:tr w14:paraId="2F23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670669FB">
            <w:pPr>
              <w:ind w:right="72"/>
              <w:jc w:val="both"/>
              <w:rPr>
                <w:rFonts w:eastAsia="宋体"/>
                <w:sz w:val="20"/>
                <w:szCs w:val="20"/>
                <w:lang w:val="it-IT" w:eastAsia="en-US"/>
              </w:rPr>
            </w:pPr>
            <w:r>
              <w:rPr>
                <w:rFonts w:eastAsia="宋体"/>
                <w:sz w:val="20"/>
                <w:szCs w:val="20"/>
                <w:lang w:val="it-IT" w:eastAsia="en-US"/>
              </w:rPr>
              <w:t>LP-SS</w:t>
            </w:r>
          </w:p>
        </w:tc>
        <w:tc>
          <w:tcPr>
            <w:tcW w:w="1243" w:type="dxa"/>
            <w:tcBorders>
              <w:top w:val="single" w:color="auto" w:sz="4" w:space="0"/>
              <w:left w:val="single" w:color="auto" w:sz="4" w:space="0"/>
              <w:bottom w:val="single" w:color="auto" w:sz="4" w:space="0"/>
              <w:right w:val="single" w:color="auto" w:sz="4" w:space="0"/>
            </w:tcBorders>
            <w:vAlign w:val="center"/>
          </w:tcPr>
          <w:p w14:paraId="7C777CAA">
            <w:pPr>
              <w:ind w:right="72"/>
              <w:rPr>
                <w:rFonts w:eastAsia="宋体"/>
                <w:sz w:val="20"/>
                <w:szCs w:val="20"/>
                <w:lang w:val="it-IT"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6EE9858D">
            <w:pPr>
              <w:ind w:right="72"/>
              <w:rPr>
                <w:rFonts w:eastAsia="宋体"/>
                <w:sz w:val="20"/>
                <w:szCs w:val="20"/>
                <w:lang w:val="it-IT" w:eastAsia="en-US"/>
              </w:rPr>
            </w:pPr>
            <w:r>
              <w:rPr>
                <w:rFonts w:eastAsia="宋体"/>
                <w:sz w:val="20"/>
                <w:szCs w:val="20"/>
                <w:lang w:val="it-IT" w:eastAsia="en-US"/>
              </w:rPr>
              <w:t>OOK-1; or</w:t>
            </w:r>
          </w:p>
          <w:p w14:paraId="2A55E380">
            <w:pPr>
              <w:ind w:right="72"/>
              <w:rPr>
                <w:rFonts w:eastAsia="宋体"/>
                <w:sz w:val="20"/>
                <w:szCs w:val="20"/>
                <w:lang w:val="it-IT" w:eastAsia="en-US"/>
              </w:rPr>
            </w:pPr>
            <w:r>
              <w:rPr>
                <w:rFonts w:eastAsia="宋体"/>
                <w:sz w:val="20"/>
                <w:szCs w:val="20"/>
                <w:lang w:val="it-IT" w:eastAsia="en-US"/>
              </w:rPr>
              <w:t>OOK-4 with M = [2,4]</w:t>
            </w:r>
          </w:p>
          <w:p w14:paraId="5281AF8A">
            <w:pPr>
              <w:ind w:right="72"/>
              <w:rPr>
                <w:rFonts w:eastAsia="宋体"/>
                <w:sz w:val="20"/>
                <w:szCs w:val="20"/>
                <w:lang w:val="it-IT" w:eastAsia="en-US"/>
              </w:rPr>
            </w:pPr>
          </w:p>
          <w:p w14:paraId="1C3E99D3">
            <w:pPr>
              <w:spacing w:before="100" w:beforeAutospacing="1"/>
              <w:ind w:right="74"/>
              <w:rPr>
                <w:rFonts w:eastAsia="宋体"/>
                <w:sz w:val="20"/>
                <w:szCs w:val="20"/>
                <w:lang w:val="it-IT" w:eastAsia="en-US"/>
              </w:rPr>
            </w:pPr>
          </w:p>
          <w:p w14:paraId="67FB8F6F">
            <w:pPr>
              <w:ind w:right="72"/>
              <w:rPr>
                <w:rFonts w:eastAsia="宋体"/>
                <w:sz w:val="20"/>
                <w:szCs w:val="20"/>
                <w:lang w:val="it-IT" w:eastAsia="en-US"/>
              </w:rPr>
            </w:pPr>
          </w:p>
        </w:tc>
        <w:tc>
          <w:tcPr>
            <w:tcW w:w="2529" w:type="dxa"/>
            <w:tcBorders>
              <w:top w:val="single" w:color="auto" w:sz="4" w:space="0"/>
              <w:left w:val="single" w:color="auto" w:sz="4" w:space="0"/>
              <w:bottom w:val="single" w:color="auto" w:sz="4" w:space="0"/>
              <w:right w:val="single" w:color="auto" w:sz="4" w:space="0"/>
            </w:tcBorders>
            <w:vAlign w:val="center"/>
          </w:tcPr>
          <w:p w14:paraId="2B9CFACD">
            <w:pPr>
              <w:ind w:right="72"/>
              <w:rPr>
                <w:rFonts w:eastAsia="宋体"/>
                <w:sz w:val="20"/>
                <w:szCs w:val="20"/>
                <w:lang w:val="it-IT" w:eastAsia="en-US"/>
              </w:rPr>
            </w:pPr>
          </w:p>
          <w:p w14:paraId="2870EEB7">
            <w:pPr>
              <w:ind w:right="72"/>
              <w:rPr>
                <w:rFonts w:eastAsia="宋体"/>
                <w:color w:val="000000"/>
                <w:sz w:val="20"/>
                <w:szCs w:val="20"/>
              </w:rPr>
            </w:pPr>
            <w:r>
              <w:rPr>
                <w:rFonts w:eastAsia="宋体"/>
                <w:color w:val="000000"/>
                <w:sz w:val="20"/>
                <w:szCs w:val="20"/>
              </w:rPr>
              <w:t>when Cell 1 uses OOK-1; OOK-1 or NR signal is used for Cell 2</w:t>
            </w:r>
          </w:p>
          <w:p w14:paraId="18460072">
            <w:pPr>
              <w:ind w:right="72"/>
              <w:rPr>
                <w:rFonts w:eastAsia="宋体"/>
                <w:color w:val="000000"/>
                <w:sz w:val="20"/>
                <w:szCs w:val="20"/>
              </w:rPr>
            </w:pPr>
          </w:p>
          <w:p w14:paraId="22198749">
            <w:pPr>
              <w:ind w:right="72"/>
              <w:rPr>
                <w:rFonts w:eastAsia="宋体"/>
                <w:color w:val="000000"/>
                <w:sz w:val="20"/>
                <w:szCs w:val="20"/>
              </w:rPr>
            </w:pPr>
            <w:r>
              <w:rPr>
                <w:rFonts w:eastAsia="宋体"/>
                <w:color w:val="000000"/>
                <w:sz w:val="20"/>
                <w:szCs w:val="20"/>
              </w:rPr>
              <w:t>when Cell 1 uses OOK-4,</w:t>
            </w:r>
          </w:p>
          <w:p w14:paraId="7CF30C3F">
            <w:pPr>
              <w:ind w:right="72"/>
              <w:rPr>
                <w:rFonts w:eastAsia="宋体"/>
                <w:color w:val="000000"/>
                <w:sz w:val="20"/>
                <w:szCs w:val="20"/>
              </w:rPr>
            </w:pPr>
            <w:r>
              <w:rPr>
                <w:rFonts w:eastAsia="宋体"/>
                <w:color w:val="000000"/>
                <w:sz w:val="20"/>
                <w:szCs w:val="20"/>
              </w:rPr>
              <w:t>OOK-4 with same M value as cell 1 or NR signal is used for Cell 2</w:t>
            </w:r>
          </w:p>
          <w:p w14:paraId="1856C2FF">
            <w:pPr>
              <w:ind w:right="72"/>
              <w:rPr>
                <w:rFonts w:eastAsia="宋体"/>
                <w:sz w:val="20"/>
                <w:szCs w:val="20"/>
                <w:lang w:val="it-IT" w:eastAsia="en-US"/>
              </w:rPr>
            </w:pPr>
          </w:p>
          <w:p w14:paraId="3E35D147">
            <w:pPr>
              <w:spacing w:before="100" w:beforeAutospacing="1"/>
              <w:ind w:right="74"/>
              <w:rPr>
                <w:rFonts w:eastAsia="Times New Roman"/>
                <w:sz w:val="20"/>
                <w:szCs w:val="20"/>
                <w:lang w:val="it-IT"/>
              </w:rPr>
            </w:pPr>
          </w:p>
        </w:tc>
      </w:tr>
      <w:tr w14:paraId="336F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6B3426D8">
            <w:pPr>
              <w:ind w:right="72"/>
              <w:rPr>
                <w:rFonts w:eastAsia="宋体"/>
                <w:sz w:val="20"/>
                <w:szCs w:val="20"/>
                <w:lang w:val="it-IT" w:eastAsia="en-US"/>
              </w:rPr>
            </w:pPr>
            <w:r>
              <w:rPr>
                <w:rFonts w:eastAsia="宋体"/>
                <w:sz w:val="20"/>
                <w:szCs w:val="20"/>
                <w:lang w:val="it-IT" w:eastAsia="en-US"/>
              </w:rPr>
              <w:t>PBCH and DMRS power offset with respect to NR-PSS, NR-SSS and LP-SS</w:t>
            </w:r>
          </w:p>
        </w:tc>
        <w:tc>
          <w:tcPr>
            <w:tcW w:w="1243" w:type="dxa"/>
            <w:tcBorders>
              <w:top w:val="single" w:color="auto" w:sz="4" w:space="0"/>
              <w:left w:val="single" w:color="auto" w:sz="4" w:space="0"/>
              <w:bottom w:val="single" w:color="auto" w:sz="4" w:space="0"/>
              <w:right w:val="single" w:color="auto" w:sz="4" w:space="0"/>
            </w:tcBorders>
            <w:vAlign w:val="center"/>
          </w:tcPr>
          <w:p w14:paraId="4924193C">
            <w:pPr>
              <w:ind w:right="72"/>
              <w:rPr>
                <w:rFonts w:eastAsia="宋体"/>
                <w:sz w:val="20"/>
                <w:szCs w:val="20"/>
                <w:lang w:val="it-IT" w:eastAsia="en-US"/>
              </w:rPr>
            </w:pPr>
            <w:r>
              <w:rPr>
                <w:rFonts w:eastAsia="宋体"/>
                <w:sz w:val="20"/>
                <w:szCs w:val="20"/>
                <w:lang w:val="it-IT" w:eastAsia="en-US"/>
              </w:rPr>
              <w:t>dB</w:t>
            </w:r>
          </w:p>
        </w:tc>
        <w:tc>
          <w:tcPr>
            <w:tcW w:w="2628" w:type="dxa"/>
            <w:tcBorders>
              <w:top w:val="single" w:color="auto" w:sz="4" w:space="0"/>
              <w:left w:val="single" w:color="auto" w:sz="4" w:space="0"/>
              <w:bottom w:val="single" w:color="auto" w:sz="4" w:space="0"/>
              <w:right w:val="single" w:color="auto" w:sz="4" w:space="0"/>
            </w:tcBorders>
            <w:vAlign w:val="center"/>
          </w:tcPr>
          <w:p w14:paraId="585593C1">
            <w:pPr>
              <w:ind w:right="72"/>
              <w:rPr>
                <w:rFonts w:eastAsia="宋体"/>
                <w:sz w:val="20"/>
                <w:szCs w:val="20"/>
                <w:lang w:val="it-IT" w:eastAsia="en-US"/>
              </w:rPr>
            </w:pPr>
            <w:r>
              <w:rPr>
                <w:rFonts w:eastAsia="宋体"/>
                <w:sz w:val="20"/>
                <w:szCs w:val="20"/>
                <w:lang w:val="it-IT"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2BFB5693">
            <w:pPr>
              <w:ind w:right="72"/>
              <w:rPr>
                <w:rFonts w:eastAsia="宋体"/>
                <w:sz w:val="20"/>
                <w:szCs w:val="20"/>
                <w:lang w:val="it-IT" w:eastAsia="en-US"/>
              </w:rPr>
            </w:pPr>
            <w:r>
              <w:rPr>
                <w:rFonts w:eastAsia="宋体"/>
                <w:sz w:val="20"/>
                <w:szCs w:val="20"/>
                <w:lang w:val="it-IT" w:eastAsia="en-US"/>
              </w:rPr>
              <w:t>0</w:t>
            </w:r>
          </w:p>
        </w:tc>
      </w:tr>
      <w:tr w14:paraId="3263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695DB32A">
            <w:pPr>
              <w:ind w:right="72"/>
              <w:rPr>
                <w:rFonts w:eastAsia="宋体"/>
                <w:sz w:val="20"/>
                <w:szCs w:val="20"/>
                <w:lang w:val="it-IT" w:eastAsia="en-US"/>
              </w:rPr>
            </w:pPr>
            <w:r>
              <w:rPr>
                <w:rFonts w:eastAsia="宋体"/>
                <w:sz w:val="20"/>
                <w:szCs w:val="20"/>
                <w:lang w:val="it-IT" w:eastAsia="en-US"/>
              </w:rPr>
              <w:t>Data and control PSD relative to NR-PSS</w:t>
            </w:r>
            <w:r>
              <w:rPr>
                <w:rFonts w:hint="eastAsia" w:eastAsia="宋体"/>
                <w:sz w:val="20"/>
                <w:szCs w:val="20"/>
                <w:lang w:val="it-IT" w:eastAsia="en-US"/>
              </w:rPr>
              <w:t>,</w:t>
            </w:r>
            <w:r>
              <w:rPr>
                <w:rFonts w:eastAsia="宋体"/>
                <w:sz w:val="20"/>
                <w:szCs w:val="20"/>
                <w:lang w:val="it-IT" w:eastAsia="en-US"/>
              </w:rPr>
              <w:t>NR-SSS and LP-SS</w:t>
            </w:r>
          </w:p>
        </w:tc>
        <w:tc>
          <w:tcPr>
            <w:tcW w:w="1243" w:type="dxa"/>
            <w:tcBorders>
              <w:top w:val="single" w:color="auto" w:sz="4" w:space="0"/>
              <w:left w:val="single" w:color="auto" w:sz="4" w:space="0"/>
              <w:bottom w:val="single" w:color="auto" w:sz="4" w:space="0"/>
              <w:right w:val="single" w:color="auto" w:sz="4" w:space="0"/>
            </w:tcBorders>
            <w:vAlign w:val="center"/>
          </w:tcPr>
          <w:p w14:paraId="7F4F6E35">
            <w:pPr>
              <w:ind w:right="72"/>
              <w:rPr>
                <w:rFonts w:eastAsia="宋体"/>
                <w:sz w:val="20"/>
                <w:szCs w:val="20"/>
                <w:lang w:val="it-IT" w:eastAsia="en-US"/>
              </w:rPr>
            </w:pPr>
            <w:r>
              <w:rPr>
                <w:rFonts w:eastAsia="宋体"/>
                <w:sz w:val="20"/>
                <w:szCs w:val="20"/>
                <w:lang w:val="it-IT" w:eastAsia="en-US"/>
              </w:rPr>
              <w:t>dB</w:t>
            </w:r>
          </w:p>
        </w:tc>
        <w:tc>
          <w:tcPr>
            <w:tcW w:w="2628" w:type="dxa"/>
            <w:tcBorders>
              <w:top w:val="single" w:color="auto" w:sz="4" w:space="0"/>
              <w:left w:val="single" w:color="auto" w:sz="4" w:space="0"/>
              <w:bottom w:val="single" w:color="auto" w:sz="4" w:space="0"/>
              <w:right w:val="single" w:color="auto" w:sz="4" w:space="0"/>
            </w:tcBorders>
            <w:vAlign w:val="center"/>
          </w:tcPr>
          <w:p w14:paraId="3299FDB5">
            <w:pPr>
              <w:ind w:right="72"/>
              <w:rPr>
                <w:rFonts w:eastAsia="宋体"/>
                <w:sz w:val="20"/>
                <w:szCs w:val="20"/>
                <w:lang w:val="it-IT" w:eastAsia="en-US"/>
              </w:rPr>
            </w:pPr>
            <w:r>
              <w:rPr>
                <w:rFonts w:eastAsia="宋体"/>
                <w:sz w:val="20"/>
                <w:szCs w:val="20"/>
                <w:lang w:val="it-IT"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49F1464A">
            <w:pPr>
              <w:ind w:right="72"/>
              <w:rPr>
                <w:rFonts w:eastAsia="宋体"/>
                <w:sz w:val="20"/>
                <w:szCs w:val="20"/>
                <w:lang w:val="it-IT" w:eastAsia="en-US"/>
              </w:rPr>
            </w:pPr>
            <w:r>
              <w:rPr>
                <w:rFonts w:eastAsia="宋体"/>
                <w:sz w:val="20"/>
                <w:szCs w:val="20"/>
                <w:lang w:val="it-IT" w:eastAsia="en-US"/>
              </w:rPr>
              <w:t>0</w:t>
            </w:r>
          </w:p>
        </w:tc>
      </w:tr>
      <w:tr w14:paraId="1BFA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025BC008">
            <w:pPr>
              <w:ind w:right="72"/>
              <w:rPr>
                <w:rFonts w:eastAsia="宋体"/>
                <w:sz w:val="20"/>
                <w:szCs w:val="20"/>
                <w:lang w:val="it-IT" w:eastAsia="en-US"/>
              </w:rPr>
            </w:pPr>
            <w:r>
              <w:rPr>
                <w:rFonts w:eastAsia="宋体"/>
                <w:sz w:val="20"/>
                <w:szCs w:val="20"/>
                <w:lang w:val="it-IT" w:eastAsia="en-US"/>
              </w:rPr>
              <w:t>RB Utilization</w:t>
            </w:r>
          </w:p>
        </w:tc>
        <w:tc>
          <w:tcPr>
            <w:tcW w:w="1243" w:type="dxa"/>
            <w:tcBorders>
              <w:top w:val="single" w:color="auto" w:sz="4" w:space="0"/>
              <w:left w:val="single" w:color="auto" w:sz="4" w:space="0"/>
              <w:bottom w:val="single" w:color="auto" w:sz="4" w:space="0"/>
              <w:right w:val="single" w:color="auto" w:sz="4" w:space="0"/>
            </w:tcBorders>
            <w:vAlign w:val="center"/>
          </w:tcPr>
          <w:p w14:paraId="3FF1F5D9">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6FC6C663">
            <w:pPr>
              <w:ind w:right="72"/>
              <w:rPr>
                <w:rFonts w:eastAsia="宋体"/>
                <w:sz w:val="20"/>
                <w:szCs w:val="20"/>
                <w:lang w:val="it-IT" w:eastAsia="en-US"/>
              </w:rPr>
            </w:pPr>
            <w:r>
              <w:rPr>
                <w:rFonts w:eastAsia="宋体"/>
                <w:sz w:val="20"/>
                <w:szCs w:val="20"/>
                <w:lang w:val="it-IT" w:eastAsia="en-US"/>
              </w:rPr>
              <w:t>100</w:t>
            </w:r>
          </w:p>
        </w:tc>
        <w:tc>
          <w:tcPr>
            <w:tcW w:w="2529" w:type="dxa"/>
            <w:tcBorders>
              <w:top w:val="single" w:color="auto" w:sz="4" w:space="0"/>
              <w:left w:val="single" w:color="auto" w:sz="4" w:space="0"/>
              <w:bottom w:val="single" w:color="auto" w:sz="4" w:space="0"/>
              <w:right w:val="single" w:color="auto" w:sz="4" w:space="0"/>
            </w:tcBorders>
            <w:vAlign w:val="center"/>
          </w:tcPr>
          <w:p w14:paraId="5C214100">
            <w:pPr>
              <w:ind w:right="72"/>
              <w:rPr>
                <w:rFonts w:eastAsia="宋体"/>
                <w:sz w:val="20"/>
                <w:szCs w:val="20"/>
                <w:lang w:val="it-IT" w:eastAsia="en-US"/>
              </w:rPr>
            </w:pPr>
            <w:r>
              <w:rPr>
                <w:rFonts w:eastAsia="宋体"/>
                <w:sz w:val="20"/>
                <w:szCs w:val="20"/>
                <w:lang w:val="it-IT" w:eastAsia="en-US"/>
              </w:rPr>
              <w:t>100</w:t>
            </w:r>
          </w:p>
        </w:tc>
      </w:tr>
      <w:tr w14:paraId="3367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4BD0BBD8">
            <w:pPr>
              <w:ind w:right="72"/>
              <w:rPr>
                <w:rFonts w:eastAsia="宋体"/>
                <w:sz w:val="20"/>
                <w:szCs w:val="20"/>
                <w:lang w:val="it-IT" w:eastAsia="en-US"/>
              </w:rPr>
            </w:pPr>
            <w:r>
              <w:rPr>
                <w:rFonts w:eastAsia="宋体"/>
                <w:sz w:val="20"/>
                <w:szCs w:val="20"/>
                <w:lang w:val="it-IT" w:eastAsia="en-US"/>
              </w:rPr>
              <w:t>Data Modulation</w:t>
            </w:r>
          </w:p>
          <w:p w14:paraId="48658D87">
            <w:pPr>
              <w:ind w:right="72"/>
              <w:rPr>
                <w:rFonts w:eastAsia="宋体"/>
                <w:sz w:val="20"/>
                <w:szCs w:val="20"/>
                <w:lang w:val="it-IT" w:eastAsia="en-US"/>
              </w:rPr>
            </w:pPr>
          </w:p>
        </w:tc>
        <w:tc>
          <w:tcPr>
            <w:tcW w:w="1243" w:type="dxa"/>
            <w:tcBorders>
              <w:top w:val="single" w:color="auto" w:sz="4" w:space="0"/>
              <w:left w:val="single" w:color="auto" w:sz="4" w:space="0"/>
              <w:bottom w:val="single" w:color="auto" w:sz="4" w:space="0"/>
              <w:right w:val="single" w:color="auto" w:sz="4" w:space="0"/>
            </w:tcBorders>
            <w:vAlign w:val="center"/>
          </w:tcPr>
          <w:p w14:paraId="07561EDB">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062A9591">
            <w:pPr>
              <w:ind w:right="72"/>
              <w:rPr>
                <w:rFonts w:eastAsia="宋体"/>
                <w:sz w:val="20"/>
                <w:szCs w:val="20"/>
                <w:lang w:val="it-IT" w:eastAsia="en-US"/>
              </w:rPr>
            </w:pPr>
          </w:p>
          <w:p w14:paraId="46F734CC">
            <w:pPr>
              <w:ind w:right="72"/>
              <w:rPr>
                <w:rFonts w:eastAsia="宋体"/>
                <w:sz w:val="20"/>
                <w:szCs w:val="20"/>
                <w:lang w:val="it-IT" w:eastAsia="en-US"/>
              </w:rPr>
            </w:pPr>
            <w:r>
              <w:rPr>
                <w:rFonts w:eastAsia="宋体"/>
                <w:sz w:val="20"/>
                <w:szCs w:val="20"/>
                <w:lang w:val="it-IT" w:eastAsia="en-US"/>
              </w:rPr>
              <w:t>QPSK</w:t>
            </w:r>
          </w:p>
        </w:tc>
        <w:tc>
          <w:tcPr>
            <w:tcW w:w="2529" w:type="dxa"/>
            <w:tcBorders>
              <w:top w:val="single" w:color="auto" w:sz="4" w:space="0"/>
              <w:left w:val="single" w:color="auto" w:sz="4" w:space="0"/>
              <w:bottom w:val="single" w:color="auto" w:sz="4" w:space="0"/>
              <w:right w:val="single" w:color="auto" w:sz="4" w:space="0"/>
            </w:tcBorders>
            <w:vAlign w:val="center"/>
          </w:tcPr>
          <w:p w14:paraId="20B7811A">
            <w:pPr>
              <w:ind w:right="72"/>
              <w:rPr>
                <w:rFonts w:eastAsia="宋体"/>
                <w:sz w:val="20"/>
                <w:szCs w:val="20"/>
                <w:lang w:val="it-IT" w:eastAsia="en-US"/>
              </w:rPr>
            </w:pPr>
          </w:p>
          <w:p w14:paraId="2BBED778">
            <w:pPr>
              <w:ind w:right="72"/>
              <w:rPr>
                <w:rFonts w:eastAsia="宋体"/>
                <w:sz w:val="20"/>
                <w:szCs w:val="20"/>
                <w:lang w:val="it-IT" w:eastAsia="en-US"/>
              </w:rPr>
            </w:pPr>
            <w:r>
              <w:rPr>
                <w:rFonts w:eastAsia="宋体"/>
                <w:sz w:val="20"/>
                <w:szCs w:val="20"/>
                <w:lang w:val="it-IT" w:eastAsia="en-US"/>
              </w:rPr>
              <w:t>QPSK</w:t>
            </w:r>
          </w:p>
        </w:tc>
      </w:tr>
      <w:tr w14:paraId="7D71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4D2B17A8">
            <w:pPr>
              <w:ind w:right="72"/>
              <w:rPr>
                <w:rFonts w:eastAsia="宋体"/>
                <w:sz w:val="20"/>
                <w:szCs w:val="20"/>
                <w:lang w:val="it-IT" w:eastAsia="en-US"/>
              </w:rPr>
            </w:pPr>
            <w:r>
              <w:rPr>
                <w:rFonts w:eastAsia="宋体"/>
                <w:sz w:val="20"/>
                <w:szCs w:val="20"/>
                <w:lang w:val="it-IT" w:eastAsia="en-US"/>
              </w:rPr>
              <w:t>Slot length</w:t>
            </w:r>
          </w:p>
        </w:tc>
        <w:tc>
          <w:tcPr>
            <w:tcW w:w="1243" w:type="dxa"/>
            <w:tcBorders>
              <w:top w:val="single" w:color="auto" w:sz="4" w:space="0"/>
              <w:left w:val="single" w:color="auto" w:sz="4" w:space="0"/>
              <w:bottom w:val="single" w:color="auto" w:sz="4" w:space="0"/>
              <w:right w:val="single" w:color="auto" w:sz="4" w:space="0"/>
            </w:tcBorders>
            <w:vAlign w:val="center"/>
          </w:tcPr>
          <w:p w14:paraId="4389990A">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27F062B7">
            <w:pPr>
              <w:ind w:right="72"/>
              <w:rPr>
                <w:rFonts w:eastAsia="宋体"/>
                <w:sz w:val="20"/>
                <w:szCs w:val="20"/>
                <w:lang w:val="it-IT" w:eastAsia="en-US"/>
              </w:rPr>
            </w:pPr>
            <w:r>
              <w:rPr>
                <w:rFonts w:eastAsia="宋体"/>
                <w:sz w:val="20"/>
                <w:szCs w:val="20"/>
                <w:lang w:val="it-IT" w:eastAsia="en-US"/>
              </w:rPr>
              <w:t>14 symbols</w:t>
            </w:r>
          </w:p>
        </w:tc>
        <w:tc>
          <w:tcPr>
            <w:tcW w:w="2529" w:type="dxa"/>
            <w:tcBorders>
              <w:top w:val="single" w:color="auto" w:sz="4" w:space="0"/>
              <w:left w:val="single" w:color="auto" w:sz="4" w:space="0"/>
              <w:bottom w:val="single" w:color="auto" w:sz="4" w:space="0"/>
              <w:right w:val="single" w:color="auto" w:sz="4" w:space="0"/>
            </w:tcBorders>
            <w:vAlign w:val="center"/>
          </w:tcPr>
          <w:p w14:paraId="68562AFE">
            <w:pPr>
              <w:ind w:right="72"/>
              <w:rPr>
                <w:rFonts w:eastAsia="宋体"/>
                <w:sz w:val="20"/>
                <w:szCs w:val="20"/>
                <w:lang w:val="it-IT" w:eastAsia="en-US"/>
              </w:rPr>
            </w:pPr>
            <w:r>
              <w:rPr>
                <w:rFonts w:eastAsia="宋体"/>
                <w:sz w:val="20"/>
                <w:szCs w:val="20"/>
                <w:lang w:val="it-IT" w:eastAsia="en-US"/>
              </w:rPr>
              <w:t>14 symbols</w:t>
            </w:r>
          </w:p>
        </w:tc>
      </w:tr>
      <w:tr w14:paraId="60BB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52EC1385">
            <w:pPr>
              <w:ind w:right="72"/>
              <w:rPr>
                <w:rFonts w:eastAsia="宋体"/>
                <w:sz w:val="20"/>
                <w:szCs w:val="20"/>
                <w:lang w:val="it-IT" w:eastAsia="en-US"/>
              </w:rPr>
            </w:pPr>
            <w:r>
              <w:rPr>
                <w:rFonts w:eastAsia="宋体"/>
                <w:sz w:val="20"/>
                <w:szCs w:val="20"/>
                <w:lang w:val="it-IT" w:eastAsia="en-US"/>
              </w:rPr>
              <w:t>CP Length</w:t>
            </w:r>
          </w:p>
        </w:tc>
        <w:tc>
          <w:tcPr>
            <w:tcW w:w="1243" w:type="dxa"/>
            <w:tcBorders>
              <w:top w:val="single" w:color="auto" w:sz="4" w:space="0"/>
              <w:left w:val="single" w:color="auto" w:sz="4" w:space="0"/>
              <w:bottom w:val="single" w:color="auto" w:sz="4" w:space="0"/>
              <w:right w:val="single" w:color="auto" w:sz="4" w:space="0"/>
            </w:tcBorders>
            <w:vAlign w:val="center"/>
          </w:tcPr>
          <w:p w14:paraId="578F669E">
            <w:pPr>
              <w:ind w:right="72"/>
              <w:rPr>
                <w:rFonts w:eastAsia="宋体"/>
                <w:sz w:val="20"/>
                <w:szCs w:val="20"/>
                <w:lang w:val="it-IT" w:eastAsia="en-US"/>
              </w:rPr>
            </w:pPr>
            <w:r>
              <w:rPr>
                <w:rFonts w:eastAsia="宋体"/>
                <w:sz w:val="20"/>
                <w:szCs w:val="20"/>
                <w:lang w:val="it-IT" w:eastAsia="en-US"/>
              </w:rPr>
              <w:t>-</w:t>
            </w:r>
          </w:p>
        </w:tc>
        <w:tc>
          <w:tcPr>
            <w:tcW w:w="2628" w:type="dxa"/>
            <w:tcBorders>
              <w:top w:val="single" w:color="auto" w:sz="4" w:space="0"/>
              <w:left w:val="single" w:color="auto" w:sz="4" w:space="0"/>
              <w:bottom w:val="single" w:color="auto" w:sz="4" w:space="0"/>
              <w:right w:val="single" w:color="auto" w:sz="4" w:space="0"/>
            </w:tcBorders>
            <w:vAlign w:val="center"/>
          </w:tcPr>
          <w:p w14:paraId="1B7C4A8E">
            <w:pPr>
              <w:ind w:right="72"/>
              <w:rPr>
                <w:rFonts w:eastAsia="宋体"/>
                <w:sz w:val="20"/>
                <w:szCs w:val="20"/>
                <w:lang w:val="it-IT" w:eastAsia="en-US"/>
              </w:rPr>
            </w:pPr>
            <w:r>
              <w:rPr>
                <w:rFonts w:eastAsia="宋体"/>
                <w:sz w:val="20"/>
                <w:szCs w:val="20"/>
                <w:lang w:val="it-IT" w:eastAsia="en-US"/>
              </w:rPr>
              <w:t>Normal</w:t>
            </w:r>
          </w:p>
        </w:tc>
        <w:tc>
          <w:tcPr>
            <w:tcW w:w="2529" w:type="dxa"/>
            <w:tcBorders>
              <w:top w:val="single" w:color="auto" w:sz="4" w:space="0"/>
              <w:left w:val="single" w:color="auto" w:sz="4" w:space="0"/>
              <w:bottom w:val="single" w:color="auto" w:sz="4" w:space="0"/>
              <w:right w:val="single" w:color="auto" w:sz="4" w:space="0"/>
            </w:tcBorders>
            <w:vAlign w:val="center"/>
          </w:tcPr>
          <w:p w14:paraId="1EE473CC">
            <w:pPr>
              <w:ind w:right="72"/>
              <w:rPr>
                <w:rFonts w:eastAsia="宋体"/>
                <w:sz w:val="20"/>
                <w:szCs w:val="20"/>
                <w:lang w:val="it-IT" w:eastAsia="en-US"/>
              </w:rPr>
            </w:pPr>
            <w:r>
              <w:rPr>
                <w:rFonts w:eastAsia="宋体"/>
                <w:sz w:val="20"/>
                <w:szCs w:val="20"/>
                <w:lang w:val="it-IT" w:eastAsia="en-US"/>
              </w:rPr>
              <w:t>Normal</w:t>
            </w:r>
          </w:p>
        </w:tc>
      </w:tr>
      <w:tr w14:paraId="6CA3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4B6612ED">
            <w:pPr>
              <w:ind w:right="72"/>
              <w:rPr>
                <w:rFonts w:eastAsia="宋体"/>
                <w:color w:val="000000"/>
                <w:sz w:val="20"/>
                <w:szCs w:val="20"/>
                <w:lang w:val="en-GB" w:eastAsia="en-US"/>
              </w:rPr>
            </w:pPr>
            <w:r>
              <w:rPr>
                <w:rFonts w:eastAsia="宋体"/>
                <w:color w:val="000000"/>
                <w:sz w:val="20"/>
                <w:szCs w:val="20"/>
                <w:lang w:val="en-GB" w:eastAsia="en-US"/>
              </w:rPr>
              <w:t>Frequency offset relative to UE frequency reference</w:t>
            </w:r>
          </w:p>
        </w:tc>
        <w:tc>
          <w:tcPr>
            <w:tcW w:w="1243" w:type="dxa"/>
            <w:tcBorders>
              <w:top w:val="single" w:color="auto" w:sz="4" w:space="0"/>
              <w:left w:val="single" w:color="auto" w:sz="4" w:space="0"/>
              <w:bottom w:val="single" w:color="auto" w:sz="4" w:space="0"/>
              <w:right w:val="single" w:color="auto" w:sz="4" w:space="0"/>
            </w:tcBorders>
            <w:vAlign w:val="center"/>
          </w:tcPr>
          <w:p w14:paraId="2BE92DFF">
            <w:pPr>
              <w:ind w:right="72"/>
              <w:rPr>
                <w:rFonts w:eastAsia="宋体"/>
                <w:color w:val="000000"/>
                <w:sz w:val="20"/>
                <w:szCs w:val="20"/>
                <w:lang w:val="en-GB" w:eastAsia="en-US"/>
              </w:rPr>
            </w:pPr>
            <w:r>
              <w:rPr>
                <w:rFonts w:eastAsia="宋体"/>
                <w:color w:val="000000"/>
                <w:sz w:val="20"/>
                <w:szCs w:val="20"/>
                <w:lang w:val="en-GB" w:eastAsia="en-US"/>
              </w:rPr>
              <w:t>Hz</w:t>
            </w:r>
          </w:p>
        </w:tc>
        <w:tc>
          <w:tcPr>
            <w:tcW w:w="2628" w:type="dxa"/>
            <w:tcBorders>
              <w:top w:val="single" w:color="auto" w:sz="4" w:space="0"/>
              <w:left w:val="single" w:color="auto" w:sz="4" w:space="0"/>
              <w:bottom w:val="single" w:color="auto" w:sz="4" w:space="0"/>
              <w:right w:val="single" w:color="auto" w:sz="4" w:space="0"/>
            </w:tcBorders>
            <w:vAlign w:val="center"/>
          </w:tcPr>
          <w:p w14:paraId="30E5C33D">
            <w:pPr>
              <w:ind w:right="72"/>
              <w:rPr>
                <w:rFonts w:eastAsia="宋体"/>
                <w:color w:val="000000"/>
                <w:sz w:val="20"/>
                <w:szCs w:val="20"/>
                <w:lang w:val="en-GB" w:eastAsia="en-US"/>
              </w:rPr>
            </w:pPr>
          </w:p>
          <w:p w14:paraId="225DAA73">
            <w:pPr>
              <w:snapToGrid w:val="0"/>
              <w:spacing w:after="120"/>
              <w:rPr>
                <w:rFonts w:eastAsia="宋体"/>
                <w:color w:val="000000"/>
                <w:sz w:val="20"/>
                <w:szCs w:val="20"/>
              </w:rPr>
            </w:pPr>
            <w:r>
              <w:rPr>
                <w:rFonts w:eastAsia="宋体"/>
                <w:color w:val="000000"/>
                <w:sz w:val="20"/>
                <w:szCs w:val="20"/>
              </w:rPr>
              <w:t>OFDM based receiver [5] ppm</w:t>
            </w:r>
          </w:p>
          <w:p w14:paraId="095AAD19">
            <w:pPr>
              <w:snapToGrid w:val="0"/>
              <w:spacing w:after="120"/>
              <w:rPr>
                <w:rFonts w:eastAsia="宋体"/>
                <w:color w:val="000000"/>
                <w:sz w:val="20"/>
                <w:szCs w:val="20"/>
                <w:lang w:eastAsia="en-US"/>
              </w:rPr>
            </w:pPr>
            <w:r>
              <w:rPr>
                <w:rFonts w:eastAsia="宋体"/>
                <w:color w:val="000000"/>
                <w:sz w:val="20"/>
                <w:szCs w:val="20"/>
              </w:rPr>
              <w:t>OOK based receiver [</w:t>
            </w:r>
            <w:r>
              <w:rPr>
                <w:rFonts w:hint="eastAsia" w:eastAsia="宋体"/>
                <w:color w:val="000000"/>
                <w:sz w:val="20"/>
                <w:szCs w:val="20"/>
              </w:rPr>
              <w:t>1</w:t>
            </w:r>
            <w:r>
              <w:rPr>
                <w:rFonts w:eastAsia="宋体"/>
                <w:color w:val="000000"/>
                <w:sz w:val="20"/>
                <w:szCs w:val="20"/>
              </w:rPr>
              <w:t xml:space="preserve">0] ppm </w:t>
            </w:r>
          </w:p>
          <w:p w14:paraId="10CFB21E">
            <w:pPr>
              <w:spacing w:before="100" w:beforeAutospacing="1"/>
              <w:ind w:right="74"/>
              <w:rPr>
                <w:rFonts w:eastAsia="Times New Roman"/>
                <w:color w:val="000000"/>
                <w:sz w:val="20"/>
                <w:szCs w:val="20"/>
              </w:rPr>
            </w:pPr>
          </w:p>
        </w:tc>
        <w:tc>
          <w:tcPr>
            <w:tcW w:w="2529" w:type="dxa"/>
            <w:tcBorders>
              <w:top w:val="single" w:color="auto" w:sz="4" w:space="0"/>
              <w:left w:val="single" w:color="auto" w:sz="4" w:space="0"/>
              <w:bottom w:val="single" w:color="auto" w:sz="4" w:space="0"/>
              <w:right w:val="single" w:color="auto" w:sz="4" w:space="0"/>
            </w:tcBorders>
            <w:vAlign w:val="center"/>
          </w:tcPr>
          <w:p w14:paraId="201FF4A1">
            <w:pPr>
              <w:ind w:right="72"/>
              <w:rPr>
                <w:rFonts w:eastAsia="宋体"/>
                <w:color w:val="FF0000"/>
                <w:sz w:val="20"/>
                <w:szCs w:val="20"/>
                <w:lang w:val="en-GB" w:eastAsia="en-US"/>
              </w:rPr>
            </w:pPr>
            <w:r>
              <w:rPr>
                <w:rFonts w:eastAsia="宋体"/>
                <w:sz w:val="20"/>
                <w:szCs w:val="20"/>
                <w:lang w:val="it-IT" w:eastAsia="en-US"/>
              </w:rPr>
              <w:t>N/A</w:t>
            </w:r>
          </w:p>
        </w:tc>
      </w:tr>
      <w:tr w14:paraId="04F4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259301B7">
            <w:pPr>
              <w:ind w:right="72"/>
              <w:rPr>
                <w:rFonts w:eastAsia="宋体"/>
                <w:color w:val="000000"/>
                <w:sz w:val="20"/>
                <w:szCs w:val="20"/>
                <w:lang w:val="en-GB" w:eastAsia="en-US"/>
              </w:rPr>
            </w:pPr>
            <w:r>
              <w:rPr>
                <w:rFonts w:eastAsia="宋体"/>
                <w:color w:val="000000"/>
                <w:sz w:val="20"/>
                <w:szCs w:val="20"/>
                <w:lang w:val="en-GB" w:eastAsia="en-US"/>
              </w:rPr>
              <w:t>Tim</w:t>
            </w:r>
            <w:r>
              <w:rPr>
                <w:rFonts w:hint="eastAsia" w:eastAsia="宋体"/>
                <w:color w:val="000000"/>
                <w:sz w:val="20"/>
                <w:szCs w:val="20"/>
                <w:lang w:val="en-GB" w:eastAsia="en-US"/>
              </w:rPr>
              <w:t>ing</w:t>
            </w:r>
            <w:r>
              <w:rPr>
                <w:rFonts w:eastAsia="宋体"/>
                <w:color w:val="000000"/>
                <w:sz w:val="20"/>
                <w:szCs w:val="20"/>
                <w:lang w:val="en-GB" w:eastAsia="en-US"/>
              </w:rPr>
              <w:t xml:space="preserve"> error</w:t>
            </w:r>
          </w:p>
        </w:tc>
        <w:tc>
          <w:tcPr>
            <w:tcW w:w="1243" w:type="dxa"/>
            <w:tcBorders>
              <w:top w:val="single" w:color="auto" w:sz="4" w:space="0"/>
              <w:left w:val="single" w:color="auto" w:sz="4" w:space="0"/>
              <w:bottom w:val="single" w:color="auto" w:sz="4" w:space="0"/>
              <w:right w:val="single" w:color="auto" w:sz="4" w:space="0"/>
            </w:tcBorders>
            <w:vAlign w:val="center"/>
          </w:tcPr>
          <w:p w14:paraId="56130BD1">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51E43153">
            <w:pPr>
              <w:ind w:right="72"/>
              <w:rPr>
                <w:rFonts w:eastAsia="宋体"/>
                <w:color w:val="000000"/>
                <w:sz w:val="20"/>
                <w:szCs w:val="20"/>
                <w:lang w:val="en-GB" w:eastAsia="en-US"/>
              </w:rPr>
            </w:pPr>
            <w:r>
              <w:rPr>
                <w:rFonts w:eastAsia="宋体"/>
                <w:color w:val="000000"/>
                <w:sz w:val="20"/>
                <w:szCs w:val="20"/>
                <w:lang w:val="en-GB" w:eastAsia="en-US"/>
              </w:rPr>
              <w:t xml:space="preserve">Residual timing error </w:t>
            </w:r>
          </w:p>
          <w:p w14:paraId="605B18E5">
            <w:pPr>
              <w:ind w:right="72"/>
              <w:rPr>
                <w:rFonts w:eastAsia="宋体"/>
                <w:color w:val="000000"/>
                <w:sz w:val="20"/>
                <w:szCs w:val="20"/>
                <w:lang w:val="en-GB" w:eastAsia="en-US"/>
              </w:rPr>
            </w:pPr>
            <w:r>
              <w:rPr>
                <w:rFonts w:eastAsia="宋体"/>
                <w:color w:val="000000"/>
                <w:sz w:val="20"/>
                <w:szCs w:val="20"/>
                <w:lang w:val="en-GB" w:eastAsia="en-US"/>
              </w:rPr>
              <w:t xml:space="preserve">+ timing drift (frequency offset* 320ms (reference signal periodicity) </w:t>
            </w:r>
          </w:p>
          <w:p w14:paraId="266503EE">
            <w:pPr>
              <w:ind w:right="72"/>
              <w:rPr>
                <w:rFonts w:eastAsia="宋体"/>
                <w:color w:val="000000"/>
                <w:sz w:val="20"/>
                <w:szCs w:val="20"/>
                <w:lang w:val="en-GB" w:eastAsia="en-US"/>
              </w:rPr>
            </w:pPr>
          </w:p>
          <w:p w14:paraId="58319537">
            <w:pPr>
              <w:ind w:right="72"/>
              <w:rPr>
                <w:rFonts w:eastAsia="宋体"/>
                <w:color w:val="000000"/>
                <w:sz w:val="20"/>
                <w:szCs w:val="20"/>
                <w:lang w:val="en-GB" w:eastAsia="en-US"/>
              </w:rPr>
            </w:pPr>
            <w:r>
              <w:rPr>
                <w:rFonts w:eastAsia="宋体"/>
                <w:color w:val="000000"/>
                <w:sz w:val="20"/>
                <w:szCs w:val="20"/>
                <w:lang w:val="en-GB" w:eastAsia="en-US"/>
              </w:rPr>
              <w:t xml:space="preserve">Residual timing error: </w:t>
            </w:r>
          </w:p>
          <w:p w14:paraId="7F1DB982">
            <w:pPr>
              <w:ind w:right="72"/>
              <w:rPr>
                <w:rFonts w:eastAsia="宋体"/>
                <w:color w:val="000000"/>
                <w:sz w:val="20"/>
                <w:szCs w:val="20"/>
                <w:lang w:val="en-GB" w:eastAsia="en-US"/>
              </w:rPr>
            </w:pPr>
            <w:r>
              <w:rPr>
                <w:rFonts w:hint="eastAsia" w:eastAsia="宋体"/>
                <w:color w:val="000000"/>
                <w:sz w:val="20"/>
                <w:szCs w:val="20"/>
                <w:lang w:val="en-GB" w:eastAsia="en-US"/>
              </w:rPr>
              <w:t>T=5us for OOK-1</w:t>
            </w:r>
          </w:p>
          <w:p w14:paraId="139BCDD1">
            <w:pPr>
              <w:ind w:right="72"/>
              <w:rPr>
                <w:rFonts w:eastAsia="宋体"/>
                <w:color w:val="000000"/>
                <w:sz w:val="20"/>
                <w:szCs w:val="20"/>
                <w:lang w:val="en-GB" w:eastAsia="en-US"/>
              </w:rPr>
            </w:pPr>
            <w:r>
              <w:rPr>
                <w:rFonts w:hint="eastAsia" w:eastAsia="宋体"/>
                <w:color w:val="000000"/>
                <w:sz w:val="20"/>
                <w:szCs w:val="20"/>
                <w:lang w:val="en-GB" w:eastAsia="en-US"/>
              </w:rPr>
              <w:t>T=2us for OOK-4 with M=2</w:t>
            </w:r>
          </w:p>
          <w:p w14:paraId="63F90D04">
            <w:pPr>
              <w:ind w:right="72"/>
              <w:rPr>
                <w:rFonts w:eastAsia="宋体"/>
                <w:color w:val="000000"/>
                <w:sz w:val="20"/>
                <w:szCs w:val="20"/>
                <w:lang w:val="en-GB" w:eastAsia="en-US"/>
              </w:rPr>
            </w:pPr>
            <w:r>
              <w:rPr>
                <w:rFonts w:hint="eastAsia" w:eastAsia="宋体"/>
                <w:color w:val="000000"/>
                <w:sz w:val="20"/>
                <w:szCs w:val="20"/>
                <w:lang w:val="en-GB" w:eastAsia="en-US"/>
              </w:rPr>
              <w:t>T=1us for OOK-4 with M=4</w:t>
            </w:r>
          </w:p>
        </w:tc>
        <w:tc>
          <w:tcPr>
            <w:tcW w:w="2529" w:type="dxa"/>
            <w:tcBorders>
              <w:top w:val="single" w:color="auto" w:sz="4" w:space="0"/>
              <w:left w:val="single" w:color="auto" w:sz="4" w:space="0"/>
              <w:bottom w:val="single" w:color="auto" w:sz="4" w:space="0"/>
              <w:right w:val="single" w:color="auto" w:sz="4" w:space="0"/>
            </w:tcBorders>
            <w:vAlign w:val="center"/>
          </w:tcPr>
          <w:p w14:paraId="588DA7CF">
            <w:pPr>
              <w:ind w:right="72"/>
              <w:rPr>
                <w:rFonts w:eastAsia="宋体"/>
                <w:color w:val="FF0000"/>
                <w:sz w:val="20"/>
                <w:szCs w:val="20"/>
                <w:lang w:val="en-GB" w:eastAsia="en-US"/>
              </w:rPr>
            </w:pPr>
          </w:p>
        </w:tc>
      </w:tr>
      <w:tr w14:paraId="7989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2BFDC4F8">
            <w:pPr>
              <w:ind w:right="72"/>
              <w:rPr>
                <w:rFonts w:eastAsia="宋体"/>
                <w:sz w:val="20"/>
                <w:szCs w:val="20"/>
                <w:lang w:val="en-GB" w:eastAsia="en-US"/>
              </w:rPr>
            </w:pPr>
            <w:r>
              <w:rPr>
                <w:rFonts w:eastAsia="宋体"/>
                <w:sz w:val="20"/>
                <w:szCs w:val="20"/>
                <w:lang w:val="en-GB" w:eastAsia="en-US"/>
              </w:rPr>
              <w:t>1)Relative Delay of 1</w:t>
            </w:r>
            <w:r>
              <w:rPr>
                <w:rFonts w:eastAsia="宋体"/>
                <w:sz w:val="20"/>
                <w:szCs w:val="20"/>
                <w:vertAlign w:val="superscript"/>
                <w:lang w:val="en-GB" w:eastAsia="en-US"/>
              </w:rPr>
              <w:t>st</w:t>
            </w:r>
            <w:r>
              <w:rPr>
                <w:rFonts w:eastAsia="宋体"/>
                <w:sz w:val="20"/>
                <w:szCs w:val="20"/>
                <w:lang w:val="en-GB" w:eastAsia="en-US"/>
              </w:rPr>
              <w:t xml:space="preserve"> Path (synchronous)</w:t>
            </w:r>
          </w:p>
        </w:tc>
        <w:tc>
          <w:tcPr>
            <w:tcW w:w="1243" w:type="dxa"/>
            <w:tcBorders>
              <w:top w:val="single" w:color="auto" w:sz="4" w:space="0"/>
              <w:left w:val="single" w:color="auto" w:sz="4" w:space="0"/>
              <w:bottom w:val="single" w:color="auto" w:sz="4" w:space="0"/>
              <w:right w:val="single" w:color="auto" w:sz="4" w:space="0"/>
            </w:tcBorders>
            <w:vAlign w:val="center"/>
          </w:tcPr>
          <w:p w14:paraId="62DC4190">
            <w:pPr>
              <w:ind w:right="72"/>
              <w:rPr>
                <w:rFonts w:eastAsia="宋体"/>
                <w:sz w:val="20"/>
                <w:szCs w:val="20"/>
                <w:lang w:val="en-GB" w:eastAsia="en-US"/>
              </w:rPr>
            </w:pPr>
            <w:r>
              <w:rPr>
                <w:rFonts w:eastAsia="宋体"/>
                <w:sz w:val="20"/>
                <w:szCs w:val="20"/>
                <w:lang w:val="en-GB" w:eastAsia="en-US"/>
              </w:rPr>
              <w:t>µs</w:t>
            </w:r>
          </w:p>
        </w:tc>
        <w:tc>
          <w:tcPr>
            <w:tcW w:w="2628" w:type="dxa"/>
            <w:tcBorders>
              <w:top w:val="single" w:color="auto" w:sz="4" w:space="0"/>
              <w:left w:val="single" w:color="auto" w:sz="4" w:space="0"/>
              <w:bottom w:val="single" w:color="auto" w:sz="4" w:space="0"/>
              <w:right w:val="single" w:color="auto" w:sz="4" w:space="0"/>
            </w:tcBorders>
            <w:vAlign w:val="center"/>
          </w:tcPr>
          <w:p w14:paraId="686B816A">
            <w:pPr>
              <w:ind w:right="72"/>
              <w:rPr>
                <w:rFonts w:eastAsia="宋体"/>
                <w:sz w:val="20"/>
                <w:szCs w:val="20"/>
                <w:lang w:val="en-GB" w:eastAsia="en-US"/>
              </w:rPr>
            </w:pPr>
            <w:r>
              <w:rPr>
                <w:rFonts w:eastAsia="宋体"/>
                <w:sz w:val="20"/>
                <w:szCs w:val="20"/>
                <w:lang w:val="en-GB"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0B857218">
            <w:pPr>
              <w:ind w:right="72"/>
              <w:rPr>
                <w:rFonts w:eastAsia="宋体"/>
                <w:sz w:val="20"/>
                <w:szCs w:val="20"/>
                <w:lang w:val="en-GB" w:eastAsia="en-US"/>
              </w:rPr>
            </w:pPr>
            <w:r>
              <w:rPr>
                <w:rFonts w:eastAsia="宋体"/>
                <w:sz w:val="20"/>
                <w:szCs w:val="20"/>
                <w:lang w:val="en-GB" w:eastAsia="en-US"/>
              </w:rPr>
              <w:t>CP/2</w:t>
            </w:r>
          </w:p>
        </w:tc>
      </w:tr>
      <w:tr w14:paraId="29E0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7148BAFC">
            <w:pPr>
              <w:ind w:right="72"/>
              <w:rPr>
                <w:rFonts w:eastAsia="宋体"/>
                <w:sz w:val="20"/>
                <w:szCs w:val="20"/>
                <w:lang w:val="en-GB" w:eastAsia="en-US"/>
              </w:rPr>
            </w:pPr>
            <w:r>
              <w:rPr>
                <w:rFonts w:eastAsia="宋体"/>
                <w:sz w:val="20"/>
                <w:szCs w:val="20"/>
                <w:lang w:val="en-GB" w:eastAsia="en-US"/>
              </w:rPr>
              <w:t>2) Relative Delay of 1</w:t>
            </w:r>
            <w:r>
              <w:rPr>
                <w:rFonts w:eastAsia="宋体"/>
                <w:sz w:val="20"/>
                <w:szCs w:val="20"/>
                <w:vertAlign w:val="superscript"/>
                <w:lang w:val="en-GB" w:eastAsia="en-US"/>
              </w:rPr>
              <w:t>st</w:t>
            </w:r>
            <w:r>
              <w:rPr>
                <w:rFonts w:eastAsia="宋体"/>
                <w:sz w:val="20"/>
                <w:szCs w:val="20"/>
                <w:lang w:val="en-GB" w:eastAsia="en-US"/>
              </w:rPr>
              <w:t xml:space="preserve"> Path (asynchronous): Fixed delay</w:t>
            </w:r>
          </w:p>
        </w:tc>
        <w:tc>
          <w:tcPr>
            <w:tcW w:w="1243" w:type="dxa"/>
            <w:tcBorders>
              <w:top w:val="single" w:color="auto" w:sz="4" w:space="0"/>
              <w:left w:val="single" w:color="auto" w:sz="4" w:space="0"/>
              <w:bottom w:val="single" w:color="auto" w:sz="4" w:space="0"/>
              <w:right w:val="single" w:color="auto" w:sz="4" w:space="0"/>
            </w:tcBorders>
            <w:vAlign w:val="center"/>
          </w:tcPr>
          <w:p w14:paraId="646ED222">
            <w:pPr>
              <w:ind w:right="72"/>
              <w:rPr>
                <w:rFonts w:eastAsia="宋体"/>
                <w:sz w:val="20"/>
                <w:szCs w:val="20"/>
                <w:lang w:val="en-GB" w:eastAsia="en-US"/>
              </w:rPr>
            </w:pPr>
            <w:r>
              <w:rPr>
                <w:rFonts w:eastAsia="宋体"/>
                <w:sz w:val="20"/>
                <w:szCs w:val="20"/>
                <w:lang w:val="en-GB" w:eastAsia="en-US"/>
              </w:rPr>
              <w:t>ms</w:t>
            </w:r>
          </w:p>
        </w:tc>
        <w:tc>
          <w:tcPr>
            <w:tcW w:w="2628" w:type="dxa"/>
            <w:tcBorders>
              <w:top w:val="single" w:color="auto" w:sz="4" w:space="0"/>
              <w:left w:val="single" w:color="auto" w:sz="4" w:space="0"/>
              <w:bottom w:val="single" w:color="auto" w:sz="4" w:space="0"/>
              <w:right w:val="single" w:color="auto" w:sz="4" w:space="0"/>
            </w:tcBorders>
            <w:vAlign w:val="center"/>
          </w:tcPr>
          <w:p w14:paraId="1DACBC1C">
            <w:pPr>
              <w:ind w:right="72"/>
              <w:rPr>
                <w:rFonts w:eastAsia="宋体"/>
                <w:sz w:val="20"/>
                <w:szCs w:val="20"/>
                <w:lang w:val="en-GB" w:eastAsia="en-US"/>
              </w:rPr>
            </w:pPr>
            <w:r>
              <w:rPr>
                <w:rFonts w:eastAsia="宋体"/>
                <w:sz w:val="20"/>
                <w:szCs w:val="20"/>
                <w:lang w:val="en-GB" w:eastAsia="en-US"/>
              </w:rPr>
              <w:t>0</w:t>
            </w:r>
          </w:p>
        </w:tc>
        <w:tc>
          <w:tcPr>
            <w:tcW w:w="2529" w:type="dxa"/>
            <w:tcBorders>
              <w:top w:val="single" w:color="auto" w:sz="4" w:space="0"/>
              <w:left w:val="single" w:color="auto" w:sz="4" w:space="0"/>
              <w:bottom w:val="single" w:color="auto" w:sz="4" w:space="0"/>
              <w:right w:val="single" w:color="auto" w:sz="4" w:space="0"/>
            </w:tcBorders>
            <w:vAlign w:val="center"/>
          </w:tcPr>
          <w:p w14:paraId="59D3D9B0">
            <w:pPr>
              <w:ind w:right="72"/>
              <w:rPr>
                <w:rFonts w:eastAsia="宋体"/>
                <w:sz w:val="20"/>
                <w:szCs w:val="20"/>
                <w:lang w:val="en-GB" w:eastAsia="en-US"/>
              </w:rPr>
            </w:pPr>
            <w:r>
              <w:rPr>
                <w:rFonts w:eastAsia="宋体"/>
                <w:sz w:val="20"/>
                <w:szCs w:val="20"/>
                <w:lang w:val="en-GB" w:eastAsia="en-US"/>
              </w:rPr>
              <w:t>3 ms</w:t>
            </w:r>
          </w:p>
        </w:tc>
      </w:tr>
      <w:tr w14:paraId="6A264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2134" w:type="dxa"/>
            <w:vMerge w:val="restart"/>
            <w:tcBorders>
              <w:top w:val="single" w:color="auto" w:sz="4" w:space="0"/>
              <w:left w:val="single" w:color="auto" w:sz="4" w:space="0"/>
              <w:right w:val="single" w:color="auto" w:sz="4" w:space="0"/>
            </w:tcBorders>
            <w:vAlign w:val="center"/>
          </w:tcPr>
          <w:p w14:paraId="06A7B115">
            <w:pPr>
              <w:ind w:right="72"/>
              <w:rPr>
                <w:rFonts w:eastAsia="宋体"/>
                <w:color w:val="000000"/>
                <w:sz w:val="20"/>
                <w:szCs w:val="20"/>
                <w:lang w:val="en-GB" w:eastAsia="en-US"/>
              </w:rPr>
            </w:pPr>
            <w:r>
              <w:rPr>
                <w:rFonts w:eastAsia="宋体"/>
                <w:color w:val="000000"/>
                <w:sz w:val="20"/>
                <w:szCs w:val="20"/>
                <w:lang w:val="en-GB" w:eastAsia="en-US"/>
              </w:rPr>
              <w:t xml:space="preserve">SNR </w:t>
            </w:r>
          </w:p>
        </w:tc>
        <w:tc>
          <w:tcPr>
            <w:tcW w:w="1243" w:type="dxa"/>
            <w:vMerge w:val="restart"/>
            <w:tcBorders>
              <w:top w:val="single" w:color="auto" w:sz="4" w:space="0"/>
              <w:left w:val="single" w:color="auto" w:sz="4" w:space="0"/>
              <w:right w:val="single" w:color="auto" w:sz="4" w:space="0"/>
            </w:tcBorders>
            <w:vAlign w:val="center"/>
          </w:tcPr>
          <w:p w14:paraId="2757A5D2">
            <w:pPr>
              <w:ind w:right="72"/>
              <w:rPr>
                <w:rFonts w:eastAsia="宋体"/>
                <w:color w:val="000000"/>
                <w:sz w:val="20"/>
                <w:szCs w:val="20"/>
                <w:lang w:val="en-GB" w:eastAsia="en-US"/>
              </w:rPr>
            </w:pPr>
            <w:r>
              <w:rPr>
                <w:rFonts w:eastAsia="宋体"/>
                <w:color w:val="000000"/>
                <w:sz w:val="20"/>
                <w:szCs w:val="20"/>
                <w:lang w:val="en-GB" w:eastAsia="en-US"/>
              </w:rPr>
              <w:t>dB</w:t>
            </w:r>
          </w:p>
        </w:tc>
        <w:tc>
          <w:tcPr>
            <w:tcW w:w="5157" w:type="dxa"/>
            <w:gridSpan w:val="2"/>
            <w:tcBorders>
              <w:top w:val="single" w:color="auto" w:sz="4" w:space="0"/>
              <w:left w:val="single" w:color="auto" w:sz="4" w:space="0"/>
              <w:bottom w:val="single" w:color="auto" w:sz="4" w:space="0"/>
              <w:right w:val="single" w:color="auto" w:sz="4" w:space="0"/>
            </w:tcBorders>
            <w:vAlign w:val="center"/>
          </w:tcPr>
          <w:p w14:paraId="10C0BD68">
            <w:pPr>
              <w:ind w:right="72"/>
              <w:rPr>
                <w:rFonts w:eastAsia="宋体"/>
                <w:color w:val="000000"/>
                <w:sz w:val="20"/>
                <w:szCs w:val="20"/>
                <w:lang w:val="en-GB" w:eastAsia="en-US"/>
              </w:rPr>
            </w:pPr>
            <w:r>
              <w:rPr>
                <w:rFonts w:eastAsia="宋体"/>
                <w:color w:val="000000"/>
                <w:sz w:val="20"/>
                <w:szCs w:val="20"/>
                <w:lang w:val="en-GB" w:eastAsia="en-US"/>
              </w:rPr>
              <w:t>SNR setting for serving and interference cell are derived based on agreement of Issue 2-1-1-1</w:t>
            </w:r>
          </w:p>
        </w:tc>
      </w:tr>
      <w:tr w14:paraId="01D8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2134" w:type="dxa"/>
            <w:vMerge w:val="continue"/>
            <w:tcBorders>
              <w:left w:val="single" w:color="auto" w:sz="4" w:space="0"/>
              <w:right w:val="single" w:color="auto" w:sz="4" w:space="0"/>
            </w:tcBorders>
            <w:vAlign w:val="center"/>
          </w:tcPr>
          <w:p w14:paraId="648D75F3">
            <w:pPr>
              <w:ind w:right="72"/>
              <w:rPr>
                <w:rFonts w:eastAsia="宋体"/>
                <w:color w:val="000000"/>
                <w:sz w:val="20"/>
                <w:szCs w:val="20"/>
                <w:lang w:val="en-GB" w:eastAsia="en-US"/>
              </w:rPr>
            </w:pPr>
          </w:p>
        </w:tc>
        <w:tc>
          <w:tcPr>
            <w:tcW w:w="1243" w:type="dxa"/>
            <w:vMerge w:val="continue"/>
            <w:tcBorders>
              <w:left w:val="single" w:color="auto" w:sz="4" w:space="0"/>
              <w:right w:val="single" w:color="auto" w:sz="4" w:space="0"/>
            </w:tcBorders>
            <w:vAlign w:val="center"/>
          </w:tcPr>
          <w:p w14:paraId="0946D903">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0D9BD52C">
            <w:pPr>
              <w:ind w:right="72"/>
              <w:rPr>
                <w:rFonts w:eastAsia="微软雅黑"/>
                <w:iCs/>
                <w:color w:val="000000"/>
                <w:sz w:val="20"/>
                <w:szCs w:val="20"/>
                <w:lang w:val="en-GB" w:eastAsia="en-US"/>
              </w:rPr>
            </w:pPr>
            <w:r>
              <w:rPr>
                <w:rFonts w:eastAsia="宋体"/>
                <w:sz w:val="20"/>
                <w:szCs w:val="20"/>
                <w:lang w:val="en-GB" w:eastAsia="en-US"/>
              </w:rPr>
              <w:t>When Ês/Iot = -3 dB</w:t>
            </w:r>
          </w:p>
          <w:p w14:paraId="67BE8087">
            <w:pPr>
              <w:numPr>
                <w:ilvl w:val="0"/>
                <w:numId w:val="8"/>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9 dB lower compared with cell 2;   </w:t>
            </w:r>
          </w:p>
          <w:p w14:paraId="40FF2C51">
            <w:pPr>
              <w:ind w:left="576"/>
              <w:rPr>
                <w:rFonts w:eastAsia="微软雅黑"/>
                <w:iCs/>
                <w:color w:val="000000"/>
                <w:sz w:val="20"/>
                <w:szCs w:val="20"/>
                <w:lang w:val="en-GB" w:eastAsia="en-US"/>
              </w:rPr>
            </w:pPr>
            <w:r>
              <w:rPr>
                <w:rFonts w:hint="eastAsia" w:eastAsia="微软雅黑"/>
                <w:iCs/>
                <w:color w:val="000000"/>
                <w:sz w:val="20"/>
                <w:szCs w:val="20"/>
                <w:lang w:val="en-GB" w:eastAsia="en-US"/>
              </w:rPr>
              <w:t>SNR</w:t>
            </w:r>
            <w:r>
              <w:rPr>
                <w:rFonts w:eastAsia="微软雅黑"/>
                <w:iCs/>
                <w:color w:val="000000"/>
                <w:sz w:val="20"/>
                <w:szCs w:val="20"/>
                <w:lang w:val="en-GB" w:eastAsia="en-US"/>
              </w:rPr>
              <w:t xml:space="preserve"> = [-2.7]</w:t>
            </w:r>
          </w:p>
          <w:p w14:paraId="28493FA0">
            <w:pPr>
              <w:numPr>
                <w:ilvl w:val="0"/>
                <w:numId w:val="8"/>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6 dB lower compared with cell 2 </w:t>
            </w:r>
          </w:p>
          <w:p w14:paraId="34345BA5">
            <w:pPr>
              <w:ind w:left="576"/>
              <w:rPr>
                <w:rFonts w:eastAsia="微软雅黑"/>
                <w:iCs/>
                <w:color w:val="000000"/>
                <w:sz w:val="20"/>
                <w:szCs w:val="20"/>
                <w:lang w:val="en-GB" w:eastAsia="en-US"/>
              </w:rPr>
            </w:pPr>
            <w:r>
              <w:rPr>
                <w:rFonts w:hint="eastAsia" w:eastAsia="微软雅黑"/>
                <w:iCs/>
                <w:color w:val="000000"/>
                <w:sz w:val="20"/>
                <w:szCs w:val="20"/>
                <w:lang w:val="en-GB" w:eastAsia="en-US"/>
              </w:rPr>
              <w:t>SNR</w:t>
            </w:r>
            <w:r>
              <w:rPr>
                <w:rFonts w:eastAsia="微软雅黑"/>
                <w:iCs/>
                <w:color w:val="000000"/>
                <w:sz w:val="20"/>
                <w:szCs w:val="20"/>
                <w:lang w:val="en-GB" w:eastAsia="en-US"/>
              </w:rPr>
              <w:t xml:space="preserve"> = [-2.4]</w:t>
            </w:r>
          </w:p>
          <w:p w14:paraId="08EA018F">
            <w:pPr>
              <w:ind w:right="72"/>
              <w:rPr>
                <w:rFonts w:eastAsia="宋体"/>
                <w:sz w:val="20"/>
                <w:szCs w:val="20"/>
                <w:lang w:val="en-GB" w:eastAsia="en-US"/>
              </w:rPr>
            </w:pPr>
          </w:p>
        </w:tc>
        <w:tc>
          <w:tcPr>
            <w:tcW w:w="2529" w:type="dxa"/>
            <w:tcBorders>
              <w:left w:val="single" w:color="auto" w:sz="4" w:space="0"/>
              <w:right w:val="single" w:color="auto" w:sz="4" w:space="0"/>
            </w:tcBorders>
            <w:vAlign w:val="center"/>
          </w:tcPr>
          <w:p w14:paraId="54F5F6C2">
            <w:pPr>
              <w:ind w:right="72"/>
              <w:rPr>
                <w:rFonts w:eastAsia="微软雅黑"/>
                <w:iCs/>
                <w:color w:val="000000"/>
                <w:sz w:val="20"/>
                <w:szCs w:val="20"/>
                <w:lang w:val="en-GB" w:eastAsia="en-US"/>
              </w:rPr>
            </w:pPr>
            <w:r>
              <w:rPr>
                <w:rFonts w:eastAsia="宋体"/>
                <w:sz w:val="20"/>
                <w:szCs w:val="20"/>
                <w:lang w:val="en-GB" w:eastAsia="en-US"/>
              </w:rPr>
              <w:t>When Ês/Iot = -3 dB</w:t>
            </w:r>
          </w:p>
          <w:p w14:paraId="722B3628">
            <w:pPr>
              <w:numPr>
                <w:ilvl w:val="0"/>
                <w:numId w:val="8"/>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9 dB lower compared with cell 2; </w:t>
            </w:r>
          </w:p>
          <w:p w14:paraId="731F0FB3">
            <w:pPr>
              <w:ind w:left="442"/>
              <w:rPr>
                <w:rFonts w:eastAsia="微软雅黑"/>
                <w:iCs/>
                <w:color w:val="000000"/>
                <w:sz w:val="20"/>
                <w:szCs w:val="20"/>
                <w:lang w:val="en-GB" w:eastAsia="en-US"/>
              </w:rPr>
            </w:pPr>
            <w:r>
              <w:rPr>
                <w:rFonts w:eastAsia="微软雅黑"/>
                <w:iCs/>
                <w:color w:val="000000"/>
                <w:sz w:val="20"/>
                <w:szCs w:val="20"/>
                <w:lang w:val="en-GB" w:eastAsia="en-US"/>
              </w:rPr>
              <w:t xml:space="preserve">SNR = [-11.7] </w:t>
            </w:r>
          </w:p>
          <w:p w14:paraId="652D8ACF">
            <w:pPr>
              <w:numPr>
                <w:ilvl w:val="0"/>
                <w:numId w:val="8"/>
              </w:numPr>
              <w:overflowPunct w:val="0"/>
              <w:autoSpaceDE w:val="0"/>
              <w:autoSpaceDN w:val="0"/>
              <w:adjustRightInd w:val="0"/>
              <w:ind w:left="293" w:firstLine="420"/>
              <w:textAlignment w:val="baseline"/>
              <w:rPr>
                <w:rFonts w:eastAsia="微软雅黑"/>
                <w:iCs/>
                <w:color w:val="000000"/>
                <w:sz w:val="20"/>
                <w:szCs w:val="20"/>
                <w:lang w:val="en-GB" w:eastAsia="en-US"/>
              </w:rPr>
            </w:pPr>
            <w:r>
              <w:rPr>
                <w:rFonts w:eastAsia="微软雅黑"/>
                <w:iCs/>
                <w:color w:val="000000"/>
                <w:sz w:val="20"/>
                <w:szCs w:val="20"/>
                <w:lang w:val="en-GB" w:eastAsia="en-US"/>
              </w:rPr>
              <w:t xml:space="preserve">When SNR of cell 2 is 6 dB lower compared with cell 2; </w:t>
            </w:r>
          </w:p>
          <w:p w14:paraId="30D5A35E">
            <w:pPr>
              <w:ind w:left="442"/>
              <w:rPr>
                <w:rFonts w:eastAsia="微软雅黑"/>
                <w:iCs/>
                <w:color w:val="000000"/>
                <w:sz w:val="20"/>
                <w:szCs w:val="20"/>
                <w:lang w:val="en-GB" w:eastAsia="en-US"/>
              </w:rPr>
            </w:pPr>
            <w:r>
              <w:rPr>
                <w:rFonts w:eastAsia="微软雅黑"/>
                <w:iCs/>
                <w:color w:val="000000"/>
                <w:sz w:val="20"/>
                <w:szCs w:val="20"/>
                <w:lang w:val="en-GB" w:eastAsia="en-US"/>
              </w:rPr>
              <w:t>SNR = [-8.4]</w:t>
            </w:r>
          </w:p>
          <w:p w14:paraId="66BA1748">
            <w:pPr>
              <w:ind w:right="72"/>
              <w:rPr>
                <w:rFonts w:eastAsia="宋体"/>
                <w:sz w:val="20"/>
                <w:szCs w:val="20"/>
                <w:lang w:val="en-GB" w:eastAsia="en-US"/>
              </w:rPr>
            </w:pPr>
          </w:p>
        </w:tc>
      </w:tr>
      <w:tr w14:paraId="3B39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2134" w:type="dxa"/>
            <w:vMerge w:val="continue"/>
            <w:tcBorders>
              <w:left w:val="single" w:color="auto" w:sz="4" w:space="0"/>
              <w:right w:val="single" w:color="auto" w:sz="4" w:space="0"/>
            </w:tcBorders>
            <w:vAlign w:val="center"/>
          </w:tcPr>
          <w:p w14:paraId="6744D008">
            <w:pPr>
              <w:ind w:right="72"/>
              <w:rPr>
                <w:rFonts w:eastAsia="宋体"/>
                <w:color w:val="000000"/>
                <w:sz w:val="20"/>
                <w:szCs w:val="20"/>
                <w:lang w:val="en-GB" w:eastAsia="en-US"/>
              </w:rPr>
            </w:pPr>
          </w:p>
        </w:tc>
        <w:tc>
          <w:tcPr>
            <w:tcW w:w="1243" w:type="dxa"/>
            <w:vMerge w:val="continue"/>
            <w:tcBorders>
              <w:left w:val="single" w:color="auto" w:sz="4" w:space="0"/>
              <w:right w:val="single" w:color="auto" w:sz="4" w:space="0"/>
            </w:tcBorders>
            <w:vAlign w:val="center"/>
          </w:tcPr>
          <w:p w14:paraId="20A1A262">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23818074">
            <w:pPr>
              <w:ind w:right="72"/>
              <w:rPr>
                <w:rFonts w:eastAsia="宋体"/>
                <w:sz w:val="20"/>
                <w:szCs w:val="20"/>
                <w:lang w:val="en-GB" w:eastAsia="en-US"/>
              </w:rPr>
            </w:pPr>
            <w:r>
              <w:rPr>
                <w:rFonts w:eastAsia="宋体"/>
                <w:sz w:val="20"/>
                <w:szCs w:val="20"/>
                <w:lang w:val="en-GB" w:eastAsia="en-US"/>
              </w:rPr>
              <w:t>When Ês/Iot = -0.5 dB</w:t>
            </w:r>
          </w:p>
          <w:p w14:paraId="709BA7FD">
            <w:pPr>
              <w:ind w:right="72"/>
              <w:rPr>
                <w:rFonts w:eastAsia="微软雅黑"/>
                <w:iCs/>
                <w:color w:val="000000"/>
                <w:sz w:val="20"/>
                <w:szCs w:val="20"/>
                <w:lang w:val="en-GB" w:eastAsia="en-US"/>
              </w:rPr>
            </w:pPr>
          </w:p>
          <w:p w14:paraId="50429267">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c>
          <w:tcPr>
            <w:tcW w:w="2529" w:type="dxa"/>
            <w:tcBorders>
              <w:left w:val="single" w:color="auto" w:sz="4" w:space="0"/>
              <w:right w:val="single" w:color="auto" w:sz="4" w:space="0"/>
            </w:tcBorders>
            <w:vAlign w:val="center"/>
          </w:tcPr>
          <w:p w14:paraId="1EDDC927">
            <w:pPr>
              <w:ind w:right="72"/>
              <w:rPr>
                <w:rFonts w:eastAsia="宋体"/>
                <w:sz w:val="20"/>
                <w:szCs w:val="20"/>
                <w:lang w:val="en-GB" w:eastAsia="en-US"/>
              </w:rPr>
            </w:pPr>
            <w:r>
              <w:rPr>
                <w:rFonts w:eastAsia="宋体"/>
                <w:sz w:val="20"/>
                <w:szCs w:val="20"/>
                <w:lang w:val="en-GB" w:eastAsia="en-US"/>
              </w:rPr>
              <w:t>When Ês/Iot = -0.5 dB</w:t>
            </w:r>
          </w:p>
          <w:p w14:paraId="5FA59954">
            <w:pPr>
              <w:ind w:right="72"/>
              <w:rPr>
                <w:rFonts w:eastAsia="微软雅黑"/>
                <w:iCs/>
                <w:color w:val="000000"/>
                <w:sz w:val="20"/>
                <w:szCs w:val="20"/>
                <w:lang w:val="en-GB" w:eastAsia="en-US"/>
              </w:rPr>
            </w:pPr>
          </w:p>
          <w:p w14:paraId="67BC655D">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r>
      <w:tr w14:paraId="4BC0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2134" w:type="dxa"/>
            <w:vMerge w:val="continue"/>
            <w:tcBorders>
              <w:left w:val="single" w:color="auto" w:sz="4" w:space="0"/>
              <w:bottom w:val="single" w:color="auto" w:sz="4" w:space="0"/>
              <w:right w:val="single" w:color="auto" w:sz="4" w:space="0"/>
            </w:tcBorders>
            <w:vAlign w:val="center"/>
          </w:tcPr>
          <w:p w14:paraId="64822900">
            <w:pPr>
              <w:ind w:right="72"/>
              <w:rPr>
                <w:rFonts w:eastAsia="宋体"/>
                <w:color w:val="000000"/>
                <w:sz w:val="20"/>
                <w:szCs w:val="20"/>
                <w:lang w:val="en-GB" w:eastAsia="en-US"/>
              </w:rPr>
            </w:pPr>
          </w:p>
        </w:tc>
        <w:tc>
          <w:tcPr>
            <w:tcW w:w="1243" w:type="dxa"/>
            <w:vMerge w:val="continue"/>
            <w:tcBorders>
              <w:left w:val="single" w:color="auto" w:sz="4" w:space="0"/>
              <w:bottom w:val="single" w:color="auto" w:sz="4" w:space="0"/>
              <w:right w:val="single" w:color="auto" w:sz="4" w:space="0"/>
            </w:tcBorders>
            <w:vAlign w:val="center"/>
          </w:tcPr>
          <w:p w14:paraId="41EF3B62">
            <w:pPr>
              <w:ind w:right="72"/>
              <w:rPr>
                <w:rFonts w:eastAsia="宋体"/>
                <w:color w:val="000000"/>
                <w:sz w:val="20"/>
                <w:szCs w:val="20"/>
                <w:lang w:val="en-GB" w:eastAsia="en-US"/>
              </w:rPr>
            </w:pPr>
          </w:p>
        </w:tc>
        <w:tc>
          <w:tcPr>
            <w:tcW w:w="2628" w:type="dxa"/>
            <w:tcBorders>
              <w:top w:val="single" w:color="auto" w:sz="4" w:space="0"/>
              <w:left w:val="single" w:color="auto" w:sz="4" w:space="0"/>
              <w:bottom w:val="single" w:color="auto" w:sz="4" w:space="0"/>
              <w:right w:val="single" w:color="auto" w:sz="4" w:space="0"/>
            </w:tcBorders>
            <w:vAlign w:val="center"/>
          </w:tcPr>
          <w:p w14:paraId="0B163FF3">
            <w:pPr>
              <w:ind w:right="72"/>
              <w:rPr>
                <w:rFonts w:eastAsia="宋体"/>
                <w:sz w:val="20"/>
                <w:szCs w:val="20"/>
                <w:lang w:val="en-GB" w:eastAsia="en-US"/>
              </w:rPr>
            </w:pPr>
            <w:r>
              <w:rPr>
                <w:rFonts w:eastAsia="宋体"/>
                <w:sz w:val="20"/>
                <w:szCs w:val="20"/>
                <w:lang w:val="en-GB" w:eastAsia="en-US"/>
              </w:rPr>
              <w:t>When Ês/Iot = 2 dB</w:t>
            </w:r>
          </w:p>
          <w:p w14:paraId="1769B0DB">
            <w:pPr>
              <w:ind w:right="72"/>
              <w:rPr>
                <w:rFonts w:eastAsia="微软雅黑"/>
                <w:iCs/>
                <w:color w:val="000000"/>
                <w:sz w:val="20"/>
                <w:szCs w:val="20"/>
                <w:lang w:val="en-GB" w:eastAsia="en-US"/>
              </w:rPr>
            </w:pPr>
          </w:p>
          <w:p w14:paraId="4708562E">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c>
          <w:tcPr>
            <w:tcW w:w="2529" w:type="dxa"/>
            <w:tcBorders>
              <w:left w:val="single" w:color="auto" w:sz="4" w:space="0"/>
              <w:bottom w:val="single" w:color="auto" w:sz="4" w:space="0"/>
              <w:right w:val="single" w:color="auto" w:sz="4" w:space="0"/>
            </w:tcBorders>
            <w:vAlign w:val="center"/>
          </w:tcPr>
          <w:p w14:paraId="01C65F70">
            <w:pPr>
              <w:ind w:right="72"/>
              <w:rPr>
                <w:rFonts w:eastAsia="宋体"/>
                <w:sz w:val="20"/>
                <w:szCs w:val="20"/>
                <w:lang w:val="en-GB" w:eastAsia="en-US"/>
              </w:rPr>
            </w:pPr>
            <w:r>
              <w:rPr>
                <w:rFonts w:eastAsia="宋体"/>
                <w:sz w:val="20"/>
                <w:szCs w:val="20"/>
                <w:lang w:val="en-GB" w:eastAsia="en-US"/>
              </w:rPr>
              <w:t>When Ês/Iot = 2 dB</w:t>
            </w:r>
          </w:p>
          <w:p w14:paraId="6C30EBC8">
            <w:pPr>
              <w:ind w:right="72"/>
              <w:rPr>
                <w:rFonts w:eastAsia="微软雅黑"/>
                <w:iCs/>
                <w:color w:val="000000"/>
                <w:sz w:val="20"/>
                <w:szCs w:val="20"/>
                <w:lang w:val="en-GB" w:eastAsia="en-US"/>
              </w:rPr>
            </w:pPr>
          </w:p>
          <w:p w14:paraId="2B261F53">
            <w:pPr>
              <w:ind w:right="72"/>
              <w:rPr>
                <w:rFonts w:eastAsia="宋体"/>
                <w:sz w:val="20"/>
                <w:szCs w:val="20"/>
                <w:lang w:val="en-GB" w:eastAsia="en-US"/>
              </w:rPr>
            </w:pPr>
            <w:r>
              <w:rPr>
                <w:rFonts w:eastAsia="宋体"/>
                <w:sz w:val="20"/>
                <w:szCs w:val="20"/>
                <w:lang w:val="en-GB" w:eastAsia="en-US"/>
              </w:rPr>
              <w:t xml:space="preserve">Note: Determine the SNR based on </w:t>
            </w:r>
            <w:r>
              <w:rPr>
                <w:rFonts w:eastAsia="宋体"/>
                <w:color w:val="000000"/>
                <w:sz w:val="20"/>
                <w:szCs w:val="20"/>
                <w:lang w:val="en-GB" w:eastAsia="en-US"/>
              </w:rPr>
              <w:t>based on agreement of Issue 2-1-1-1</w:t>
            </w:r>
          </w:p>
        </w:tc>
      </w:tr>
      <w:tr w14:paraId="73C3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779C2D63">
            <w:pPr>
              <w:ind w:right="72"/>
              <w:rPr>
                <w:rFonts w:eastAsia="宋体"/>
                <w:sz w:val="20"/>
                <w:szCs w:val="20"/>
                <w:lang w:val="en-GB" w:eastAsia="en-US"/>
              </w:rPr>
            </w:pPr>
            <w:r>
              <w:rPr>
                <w:rFonts w:eastAsia="宋体"/>
                <w:sz w:val="20"/>
                <w:szCs w:val="20"/>
                <w:lang w:val="en-GB" w:eastAsia="en-US"/>
              </w:rPr>
              <w:t>Ês/Iot</w:t>
            </w:r>
          </w:p>
        </w:tc>
        <w:tc>
          <w:tcPr>
            <w:tcW w:w="1243" w:type="dxa"/>
            <w:tcBorders>
              <w:top w:val="single" w:color="auto" w:sz="4" w:space="0"/>
              <w:left w:val="single" w:color="auto" w:sz="4" w:space="0"/>
              <w:bottom w:val="single" w:color="auto" w:sz="4" w:space="0"/>
              <w:right w:val="single" w:color="auto" w:sz="4" w:space="0"/>
            </w:tcBorders>
            <w:vAlign w:val="center"/>
          </w:tcPr>
          <w:p w14:paraId="294B8B73">
            <w:pPr>
              <w:ind w:right="72"/>
              <w:rPr>
                <w:rFonts w:eastAsia="宋体"/>
                <w:sz w:val="20"/>
                <w:szCs w:val="20"/>
                <w:lang w:val="en-GB" w:eastAsia="en-US"/>
              </w:rPr>
            </w:pPr>
            <w:r>
              <w:rPr>
                <w:rFonts w:eastAsia="宋体"/>
                <w:sz w:val="20"/>
                <w:szCs w:val="20"/>
                <w:lang w:val="en-GB" w:eastAsia="en-US"/>
              </w:rPr>
              <w:t>dB</w:t>
            </w:r>
          </w:p>
        </w:tc>
        <w:tc>
          <w:tcPr>
            <w:tcW w:w="2628" w:type="dxa"/>
            <w:tcBorders>
              <w:top w:val="single" w:color="auto" w:sz="4" w:space="0"/>
              <w:left w:val="single" w:color="auto" w:sz="4" w:space="0"/>
              <w:bottom w:val="single" w:color="auto" w:sz="4" w:space="0"/>
              <w:right w:val="single" w:color="auto" w:sz="4" w:space="0"/>
            </w:tcBorders>
            <w:vAlign w:val="center"/>
          </w:tcPr>
          <w:p w14:paraId="7A277FCA">
            <w:pPr>
              <w:ind w:right="72"/>
              <w:rPr>
                <w:rFonts w:eastAsia="宋体"/>
                <w:sz w:val="20"/>
                <w:szCs w:val="20"/>
                <w:lang w:val="en-GB" w:eastAsia="en-US"/>
              </w:rPr>
            </w:pPr>
            <w:r>
              <w:rPr>
                <w:rFonts w:eastAsia="宋体"/>
                <w:sz w:val="20"/>
                <w:szCs w:val="20"/>
                <w:lang w:val="en-GB" w:eastAsia="en-US"/>
              </w:rPr>
              <w:t xml:space="preserve">-3; </w:t>
            </w:r>
            <w:r>
              <w:rPr>
                <w:rFonts w:eastAsia="宋体"/>
                <w:bCs/>
                <w:sz w:val="20"/>
                <w:szCs w:val="20"/>
                <w:lang w:val="en-GB" w:eastAsia="en-US"/>
              </w:rPr>
              <w:t>-0.5dB; 2dB</w:t>
            </w:r>
            <w:r>
              <w:rPr>
                <w:rFonts w:eastAsia="宋体"/>
                <w:sz w:val="20"/>
                <w:szCs w:val="20"/>
                <w:lang w:val="en-GB" w:eastAsia="en-US"/>
              </w:rPr>
              <w:t xml:space="preserve">  </w:t>
            </w:r>
          </w:p>
        </w:tc>
        <w:tc>
          <w:tcPr>
            <w:tcW w:w="2529" w:type="dxa"/>
            <w:tcBorders>
              <w:top w:val="single" w:color="auto" w:sz="4" w:space="0"/>
              <w:left w:val="single" w:color="auto" w:sz="4" w:space="0"/>
              <w:bottom w:val="single" w:color="auto" w:sz="4" w:space="0"/>
              <w:right w:val="single" w:color="auto" w:sz="4" w:space="0"/>
            </w:tcBorders>
            <w:vAlign w:val="center"/>
          </w:tcPr>
          <w:p w14:paraId="0E042C59">
            <w:pPr>
              <w:ind w:right="72"/>
              <w:rPr>
                <w:rFonts w:eastAsia="宋体"/>
                <w:sz w:val="20"/>
                <w:szCs w:val="20"/>
                <w:lang w:val="en-GB" w:eastAsia="en-US"/>
              </w:rPr>
            </w:pPr>
            <w:r>
              <w:rPr>
                <w:rFonts w:eastAsia="宋体"/>
                <w:sz w:val="20"/>
                <w:szCs w:val="20"/>
                <w:lang w:val="en-GB" w:eastAsia="en-US"/>
              </w:rPr>
              <w:t>N/A</w:t>
            </w:r>
          </w:p>
        </w:tc>
      </w:tr>
      <w:tr w14:paraId="5121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294997EB">
            <w:pPr>
              <w:ind w:right="72"/>
              <w:rPr>
                <w:rFonts w:eastAsia="宋体"/>
                <w:color w:val="000000"/>
                <w:sz w:val="20"/>
                <w:szCs w:val="20"/>
                <w:lang w:val="en-GB" w:eastAsia="en-US"/>
              </w:rPr>
            </w:pPr>
            <w:r>
              <w:rPr>
                <w:rFonts w:eastAsia="宋体"/>
                <w:color w:val="000000"/>
                <w:sz w:val="20"/>
                <w:szCs w:val="20"/>
                <w:lang w:val="en-GB" w:eastAsia="en-US"/>
              </w:rPr>
              <w:t>Propagation conditions</w:t>
            </w:r>
          </w:p>
        </w:tc>
        <w:tc>
          <w:tcPr>
            <w:tcW w:w="1243" w:type="dxa"/>
            <w:tcBorders>
              <w:top w:val="single" w:color="auto" w:sz="4" w:space="0"/>
              <w:left w:val="single" w:color="auto" w:sz="4" w:space="0"/>
              <w:bottom w:val="single" w:color="auto" w:sz="4" w:space="0"/>
              <w:right w:val="single" w:color="auto" w:sz="4" w:space="0"/>
            </w:tcBorders>
            <w:vAlign w:val="center"/>
          </w:tcPr>
          <w:p w14:paraId="23BB993C">
            <w:pPr>
              <w:ind w:right="72"/>
              <w:rPr>
                <w:rFonts w:eastAsia="宋体"/>
                <w:color w:val="000000"/>
                <w:sz w:val="20"/>
                <w:szCs w:val="20"/>
                <w:lang w:val="en-GB" w:eastAsia="en-US"/>
              </w:rPr>
            </w:pPr>
            <w:r>
              <w:rPr>
                <w:rFonts w:eastAsia="宋体"/>
                <w:color w:val="000000"/>
                <w:sz w:val="20"/>
                <w:szCs w:val="20"/>
                <w:lang w:val="en-GB" w:eastAsia="en-US"/>
              </w:rPr>
              <w:t>-</w:t>
            </w:r>
          </w:p>
        </w:tc>
        <w:tc>
          <w:tcPr>
            <w:tcW w:w="5157" w:type="dxa"/>
            <w:gridSpan w:val="2"/>
            <w:tcBorders>
              <w:top w:val="single" w:color="auto" w:sz="4" w:space="0"/>
              <w:left w:val="single" w:color="auto" w:sz="4" w:space="0"/>
              <w:bottom w:val="single" w:color="auto" w:sz="4" w:space="0"/>
              <w:right w:val="single" w:color="auto" w:sz="4" w:space="0"/>
            </w:tcBorders>
            <w:vAlign w:val="center"/>
          </w:tcPr>
          <w:p w14:paraId="60A367AD">
            <w:pPr>
              <w:keepNext/>
              <w:keepLines/>
              <w:rPr>
                <w:rFonts w:eastAsia="宋体"/>
                <w:color w:val="000000"/>
                <w:sz w:val="20"/>
                <w:szCs w:val="20"/>
                <w:lang w:eastAsia="en-US"/>
              </w:rPr>
            </w:pPr>
            <w:r>
              <w:rPr>
                <w:rFonts w:eastAsia="宋体"/>
                <w:color w:val="000000"/>
                <w:sz w:val="20"/>
                <w:szCs w:val="20"/>
                <w:lang w:eastAsia="en-US"/>
              </w:rPr>
              <w:t>FR1:</w:t>
            </w:r>
          </w:p>
          <w:p w14:paraId="26AC88FB">
            <w:pPr>
              <w:keepNext/>
              <w:keepLines/>
              <w:rPr>
                <w:rFonts w:eastAsia="宋体"/>
                <w:color w:val="000000"/>
                <w:sz w:val="20"/>
                <w:szCs w:val="20"/>
                <w:lang w:eastAsia="en-US"/>
              </w:rPr>
            </w:pPr>
            <w:r>
              <w:rPr>
                <w:rFonts w:eastAsia="宋体"/>
                <w:color w:val="000000"/>
                <w:sz w:val="20"/>
                <w:szCs w:val="20"/>
                <w:lang w:eastAsia="en-US"/>
              </w:rPr>
              <w:t>AWGN</w:t>
            </w:r>
          </w:p>
          <w:p w14:paraId="450EA3D4">
            <w:pPr>
              <w:keepNext/>
              <w:keepLines/>
              <w:rPr>
                <w:rFonts w:ascii="Arial" w:hAnsi="Arial" w:eastAsia="宋体"/>
                <w:color w:val="000000"/>
                <w:sz w:val="20"/>
                <w:szCs w:val="20"/>
                <w:lang w:eastAsia="en-US"/>
              </w:rPr>
            </w:pPr>
            <w:r>
              <w:rPr>
                <w:rFonts w:eastAsia="宋体"/>
                <w:color w:val="000000"/>
                <w:sz w:val="20"/>
                <w:szCs w:val="20"/>
                <w:lang w:eastAsia="en-US"/>
              </w:rPr>
              <w:t>TDL-C 300ns</w:t>
            </w:r>
          </w:p>
        </w:tc>
      </w:tr>
      <w:tr w14:paraId="05F6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4" w:type="dxa"/>
            <w:tcBorders>
              <w:top w:val="single" w:color="auto" w:sz="4" w:space="0"/>
              <w:left w:val="single" w:color="auto" w:sz="4" w:space="0"/>
              <w:bottom w:val="single" w:color="auto" w:sz="4" w:space="0"/>
              <w:right w:val="single" w:color="auto" w:sz="4" w:space="0"/>
            </w:tcBorders>
            <w:vAlign w:val="center"/>
          </w:tcPr>
          <w:p w14:paraId="14FB8B40">
            <w:pPr>
              <w:ind w:right="72"/>
              <w:rPr>
                <w:rFonts w:eastAsia="宋体"/>
                <w:color w:val="000000"/>
                <w:sz w:val="20"/>
                <w:szCs w:val="20"/>
                <w:lang w:val="en-GB" w:eastAsia="en-US"/>
              </w:rPr>
            </w:pPr>
            <w:r>
              <w:rPr>
                <w:rFonts w:eastAsia="宋体"/>
                <w:color w:val="000000"/>
                <w:sz w:val="20"/>
                <w:szCs w:val="20"/>
                <w:lang w:val="en-GB" w:eastAsia="en-US"/>
              </w:rPr>
              <w:t>UE speed</w:t>
            </w:r>
          </w:p>
        </w:tc>
        <w:tc>
          <w:tcPr>
            <w:tcW w:w="1243" w:type="dxa"/>
            <w:tcBorders>
              <w:top w:val="single" w:color="auto" w:sz="4" w:space="0"/>
              <w:left w:val="single" w:color="auto" w:sz="4" w:space="0"/>
              <w:bottom w:val="single" w:color="auto" w:sz="4" w:space="0"/>
              <w:right w:val="single" w:color="auto" w:sz="4" w:space="0"/>
            </w:tcBorders>
            <w:vAlign w:val="center"/>
          </w:tcPr>
          <w:p w14:paraId="02D14808">
            <w:pPr>
              <w:ind w:right="72"/>
              <w:rPr>
                <w:rFonts w:eastAsia="宋体"/>
                <w:color w:val="000000"/>
                <w:sz w:val="20"/>
                <w:szCs w:val="20"/>
                <w:lang w:val="en-GB" w:eastAsia="en-US"/>
              </w:rPr>
            </w:pPr>
          </w:p>
        </w:tc>
        <w:tc>
          <w:tcPr>
            <w:tcW w:w="5157" w:type="dxa"/>
            <w:gridSpan w:val="2"/>
            <w:tcBorders>
              <w:top w:val="single" w:color="auto" w:sz="4" w:space="0"/>
              <w:left w:val="single" w:color="auto" w:sz="4" w:space="0"/>
              <w:bottom w:val="single" w:color="auto" w:sz="4" w:space="0"/>
              <w:right w:val="single" w:color="auto" w:sz="4" w:space="0"/>
            </w:tcBorders>
            <w:vAlign w:val="center"/>
          </w:tcPr>
          <w:p w14:paraId="49066AEF">
            <w:pPr>
              <w:keepNext/>
              <w:keepLines/>
              <w:rPr>
                <w:rFonts w:eastAsia="宋体"/>
                <w:color w:val="000000"/>
                <w:sz w:val="20"/>
                <w:szCs w:val="20"/>
                <w:lang w:val="sv-SE" w:eastAsia="en-US"/>
              </w:rPr>
            </w:pPr>
            <w:r>
              <w:rPr>
                <w:rFonts w:eastAsia="宋体"/>
                <w:color w:val="000000"/>
                <w:sz w:val="20"/>
                <w:szCs w:val="20"/>
                <w:lang w:val="sv-SE" w:eastAsia="en-US"/>
              </w:rPr>
              <w:t xml:space="preserve">3 km/h  </w:t>
            </w:r>
          </w:p>
          <w:p w14:paraId="2E8D1916">
            <w:pPr>
              <w:keepNext/>
              <w:keepLines/>
              <w:rPr>
                <w:rFonts w:ascii="Arial" w:hAnsi="Arial" w:eastAsia="宋体"/>
                <w:color w:val="000000"/>
                <w:sz w:val="20"/>
                <w:szCs w:val="20"/>
                <w:lang w:val="sv-SE" w:eastAsia="en-US"/>
              </w:rPr>
            </w:pPr>
          </w:p>
        </w:tc>
      </w:tr>
      <w:tr w14:paraId="1795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4" w:type="dxa"/>
            <w:gridSpan w:val="4"/>
            <w:tcBorders>
              <w:top w:val="single" w:color="auto" w:sz="4" w:space="0"/>
              <w:left w:val="single" w:color="auto" w:sz="4" w:space="0"/>
              <w:bottom w:val="single" w:color="auto" w:sz="4" w:space="0"/>
              <w:right w:val="single" w:color="auto" w:sz="4" w:space="0"/>
            </w:tcBorders>
            <w:vAlign w:val="center"/>
          </w:tcPr>
          <w:p w14:paraId="7FDD832B">
            <w:pPr>
              <w:ind w:right="72"/>
              <w:rPr>
                <w:rFonts w:eastAsia="宋体"/>
                <w:sz w:val="20"/>
                <w:szCs w:val="20"/>
                <w:lang w:val="en-GB" w:eastAsia="en-US"/>
              </w:rPr>
            </w:pPr>
          </w:p>
        </w:tc>
      </w:tr>
    </w:tbl>
    <w:p w14:paraId="4E49C2C7">
      <w:pPr>
        <w:keepNext/>
        <w:keepLines/>
        <w:spacing w:before="60" w:after="60"/>
        <w:ind w:right="72"/>
        <w:jc w:val="center"/>
        <w:rPr>
          <w:rFonts w:ascii="Arial" w:hAnsi="Arial" w:eastAsia="宋体"/>
          <w:b/>
          <w:sz w:val="20"/>
          <w:szCs w:val="20"/>
          <w:lang w:eastAsia="en-US"/>
        </w:rPr>
      </w:pPr>
    </w:p>
    <w:p w14:paraId="6C5428A1">
      <w:pPr>
        <w:keepNext/>
        <w:keepLines/>
        <w:spacing w:before="60" w:after="60"/>
        <w:ind w:right="72"/>
        <w:jc w:val="center"/>
        <w:rPr>
          <w:rFonts w:ascii="Arial" w:hAnsi="Arial" w:eastAsia="等线"/>
          <w:b/>
          <w:i/>
          <w:color w:val="000000"/>
          <w:sz w:val="20"/>
          <w:szCs w:val="20"/>
          <w:lang w:eastAsia="en-US"/>
        </w:rPr>
      </w:pPr>
      <w:r>
        <w:rPr>
          <w:rFonts w:ascii="Arial" w:hAnsi="Arial" w:eastAsia="宋体"/>
          <w:b/>
          <w:sz w:val="20"/>
          <w:szCs w:val="20"/>
          <w:lang w:val="zh-CN" w:eastAsia="en-US"/>
        </w:rPr>
        <w:t>Table 3: UE-specific parameters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9"/>
        <w:gridCol w:w="6026"/>
      </w:tblGrid>
      <w:tr w14:paraId="50D7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79" w:type="dxa"/>
            <w:shd w:val="clear" w:color="auto" w:fill="auto"/>
          </w:tcPr>
          <w:p w14:paraId="4C53721A">
            <w:pPr>
              <w:ind w:right="72"/>
              <w:rPr>
                <w:rFonts w:eastAsia="宋体"/>
                <w:sz w:val="20"/>
                <w:szCs w:val="20"/>
                <w:lang w:val="en-GB" w:eastAsia="en-US"/>
              </w:rPr>
            </w:pPr>
            <w:r>
              <w:rPr>
                <w:rFonts w:eastAsia="宋体"/>
                <w:sz w:val="20"/>
                <w:szCs w:val="20"/>
                <w:lang w:val="en-GB" w:eastAsia="en-US"/>
              </w:rPr>
              <w:t>[Receiver Filter]</w:t>
            </w:r>
          </w:p>
        </w:tc>
        <w:tc>
          <w:tcPr>
            <w:tcW w:w="6026" w:type="dxa"/>
            <w:shd w:val="clear" w:color="auto" w:fill="auto"/>
          </w:tcPr>
          <w:p w14:paraId="6FFAC1D5">
            <w:pPr>
              <w:ind w:right="72"/>
              <w:jc w:val="center"/>
              <w:rPr>
                <w:rFonts w:eastAsia="宋体"/>
                <w:sz w:val="20"/>
                <w:szCs w:val="20"/>
                <w:lang w:val="en-GB" w:eastAsia="en-US"/>
              </w:rPr>
            </w:pPr>
            <w:r>
              <w:rPr>
                <w:rFonts w:eastAsia="宋体"/>
                <w:sz w:val="20"/>
                <w:szCs w:val="20"/>
                <w:lang w:val="en-GB" w:eastAsia="en-US"/>
              </w:rPr>
              <w:t>[3th/5th Order Butterworth with 3.96MHz bandwidth]</w:t>
            </w:r>
          </w:p>
        </w:tc>
      </w:tr>
      <w:tr w14:paraId="3B036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9" w:type="dxa"/>
            <w:shd w:val="clear" w:color="auto" w:fill="auto"/>
          </w:tcPr>
          <w:p w14:paraId="4622435B">
            <w:pPr>
              <w:ind w:right="72"/>
              <w:rPr>
                <w:rFonts w:eastAsia="宋体"/>
                <w:sz w:val="20"/>
                <w:szCs w:val="20"/>
                <w:lang w:val="en-GB" w:eastAsia="en-US"/>
              </w:rPr>
            </w:pPr>
            <w:r>
              <w:rPr>
                <w:rFonts w:eastAsia="宋体"/>
                <w:sz w:val="20"/>
                <w:szCs w:val="20"/>
                <w:lang w:val="en-GB" w:eastAsia="en-US"/>
              </w:rPr>
              <w:t>[Receiver ADC bit width]</w:t>
            </w:r>
          </w:p>
        </w:tc>
        <w:tc>
          <w:tcPr>
            <w:tcW w:w="6026" w:type="dxa"/>
            <w:shd w:val="clear" w:color="auto" w:fill="auto"/>
          </w:tcPr>
          <w:p w14:paraId="62C29B46">
            <w:pPr>
              <w:ind w:right="72"/>
              <w:jc w:val="center"/>
              <w:rPr>
                <w:rFonts w:eastAsia="宋体"/>
                <w:sz w:val="20"/>
                <w:szCs w:val="20"/>
                <w:lang w:val="en-GB" w:eastAsia="en-US"/>
              </w:rPr>
            </w:pPr>
            <w:r>
              <w:rPr>
                <w:rFonts w:eastAsia="宋体"/>
                <w:sz w:val="20"/>
                <w:szCs w:val="20"/>
                <w:lang w:val="en-GB" w:eastAsia="en-US"/>
              </w:rPr>
              <w:t>[4 or 8-bitADC]</w:t>
            </w:r>
          </w:p>
        </w:tc>
      </w:tr>
      <w:tr w14:paraId="6017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9" w:type="dxa"/>
            <w:shd w:val="clear" w:color="auto" w:fill="auto"/>
            <w:vAlign w:val="center"/>
          </w:tcPr>
          <w:p w14:paraId="5A075526">
            <w:pPr>
              <w:ind w:right="72"/>
              <w:rPr>
                <w:rFonts w:eastAsia="宋体"/>
                <w:sz w:val="20"/>
                <w:szCs w:val="20"/>
                <w:lang w:val="en-GB" w:eastAsia="en-US"/>
              </w:rPr>
            </w:pPr>
            <w:r>
              <w:rPr>
                <w:rFonts w:eastAsia="宋体"/>
                <w:sz w:val="20"/>
                <w:szCs w:val="20"/>
                <w:lang w:val="en-GB" w:eastAsia="en-US"/>
              </w:rPr>
              <w:t>[Receiver Sampling Rate for LP-SS only]</w:t>
            </w:r>
          </w:p>
        </w:tc>
        <w:tc>
          <w:tcPr>
            <w:tcW w:w="6026" w:type="dxa"/>
            <w:shd w:val="clear" w:color="auto" w:fill="auto"/>
            <w:vAlign w:val="center"/>
          </w:tcPr>
          <w:p w14:paraId="7064805E">
            <w:pPr>
              <w:ind w:right="72"/>
              <w:jc w:val="center"/>
              <w:rPr>
                <w:rFonts w:eastAsia="宋体"/>
                <w:sz w:val="20"/>
                <w:szCs w:val="20"/>
                <w:lang w:val="en-GB" w:eastAsia="en-US"/>
              </w:rPr>
            </w:pPr>
            <w:r>
              <w:rPr>
                <w:rFonts w:eastAsia="宋体"/>
                <w:sz w:val="20"/>
                <w:szCs w:val="20"/>
                <w:lang w:val="en-GB" w:eastAsia="en-US"/>
              </w:rPr>
              <w:t>[7.68MHz]</w:t>
            </w:r>
          </w:p>
        </w:tc>
      </w:tr>
    </w:tbl>
    <w:p w14:paraId="2EFCAA4A">
      <w:pPr>
        <w:rPr>
          <w:sz w:val="20"/>
          <w:szCs w:val="20"/>
        </w:rPr>
      </w:pPr>
    </w:p>
    <w:p w14:paraId="399763DE">
      <w:pPr>
        <w:rPr>
          <w:b/>
          <w:bCs/>
          <w:sz w:val="20"/>
          <w:szCs w:val="20"/>
          <w:u w:val="single"/>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06E"/>
    <w:multiLevelType w:val="multilevel"/>
    <w:tmpl w:val="042C40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5C85C9A"/>
    <w:multiLevelType w:val="singleLevel"/>
    <w:tmpl w:val="65C85C9A"/>
    <w:lvl w:ilvl="0" w:tentative="0">
      <w:start w:val="1"/>
      <w:numFmt w:val="decimal"/>
      <w:suff w:val="space"/>
      <w:lvlText w:val="[%1]"/>
      <w:lvlJc w:val="left"/>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5"/>
  </w:num>
  <w:num w:numId="3">
    <w:abstractNumId w:val="6"/>
  </w:num>
  <w:num w:numId="4">
    <w:abstractNumId w:val="1"/>
  </w:num>
  <w:num w:numId="5">
    <w:abstractNumId w:val="3"/>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4ZGU3MWE1MzM0YTQ1MDJkODZlYzMyNzc4YTZmMzYifQ=="/>
  </w:docVars>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19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1F66"/>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395"/>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2F7BB3"/>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371"/>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1C7D"/>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05AC"/>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5B"/>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443"/>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EA1"/>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04D"/>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2F4E"/>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4E3"/>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5F8D"/>
    <w:rsid w:val="00C26565"/>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66F"/>
    <w:rsid w:val="00CD0C31"/>
    <w:rsid w:val="00CD0EC1"/>
    <w:rsid w:val="00CD1065"/>
    <w:rsid w:val="00CD183E"/>
    <w:rsid w:val="00CD1D10"/>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EC9"/>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339"/>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322"/>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30"/>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356125E"/>
    <w:rsid w:val="038D13C7"/>
    <w:rsid w:val="043A58AB"/>
    <w:rsid w:val="048A1C70"/>
    <w:rsid w:val="049C3AD5"/>
    <w:rsid w:val="04AF3E80"/>
    <w:rsid w:val="061F6C01"/>
    <w:rsid w:val="0620091D"/>
    <w:rsid w:val="062F62AF"/>
    <w:rsid w:val="06CA7932"/>
    <w:rsid w:val="06E62535"/>
    <w:rsid w:val="070002A7"/>
    <w:rsid w:val="077C1411"/>
    <w:rsid w:val="07815BFF"/>
    <w:rsid w:val="081F0DE8"/>
    <w:rsid w:val="082A02ED"/>
    <w:rsid w:val="08696156"/>
    <w:rsid w:val="087C4EF9"/>
    <w:rsid w:val="099B54B4"/>
    <w:rsid w:val="09F303AF"/>
    <w:rsid w:val="0A3B0786"/>
    <w:rsid w:val="0A405571"/>
    <w:rsid w:val="0AFB6F8D"/>
    <w:rsid w:val="0B123BC4"/>
    <w:rsid w:val="0B48567B"/>
    <w:rsid w:val="0C031150"/>
    <w:rsid w:val="0E0F2590"/>
    <w:rsid w:val="0E2172DD"/>
    <w:rsid w:val="0E40223A"/>
    <w:rsid w:val="0EE74838"/>
    <w:rsid w:val="0FD91B34"/>
    <w:rsid w:val="106F4ED8"/>
    <w:rsid w:val="11677F10"/>
    <w:rsid w:val="11BB3910"/>
    <w:rsid w:val="11E7300D"/>
    <w:rsid w:val="121769BF"/>
    <w:rsid w:val="12A40DAF"/>
    <w:rsid w:val="132C5366"/>
    <w:rsid w:val="1357122A"/>
    <w:rsid w:val="14095135"/>
    <w:rsid w:val="146A5F62"/>
    <w:rsid w:val="14F41582"/>
    <w:rsid w:val="15684BB0"/>
    <w:rsid w:val="16E01E1A"/>
    <w:rsid w:val="170457D3"/>
    <w:rsid w:val="17173A55"/>
    <w:rsid w:val="173E1327"/>
    <w:rsid w:val="1744345F"/>
    <w:rsid w:val="1769421D"/>
    <w:rsid w:val="179A47FF"/>
    <w:rsid w:val="17B929AE"/>
    <w:rsid w:val="180401FA"/>
    <w:rsid w:val="180A4855"/>
    <w:rsid w:val="185111A4"/>
    <w:rsid w:val="195448E3"/>
    <w:rsid w:val="19A85AA6"/>
    <w:rsid w:val="19EA6BAE"/>
    <w:rsid w:val="1B0D39DF"/>
    <w:rsid w:val="1B581F69"/>
    <w:rsid w:val="1BF31B8E"/>
    <w:rsid w:val="1C4A3109"/>
    <w:rsid w:val="1CA41DF6"/>
    <w:rsid w:val="1CFA3475"/>
    <w:rsid w:val="1E611F29"/>
    <w:rsid w:val="1EB26218"/>
    <w:rsid w:val="1F485A62"/>
    <w:rsid w:val="1F510D7B"/>
    <w:rsid w:val="1FE62FE2"/>
    <w:rsid w:val="20D22409"/>
    <w:rsid w:val="21F74DB6"/>
    <w:rsid w:val="2286600C"/>
    <w:rsid w:val="23235919"/>
    <w:rsid w:val="23B07237"/>
    <w:rsid w:val="23D04D07"/>
    <w:rsid w:val="241130E3"/>
    <w:rsid w:val="24231158"/>
    <w:rsid w:val="2477265B"/>
    <w:rsid w:val="249806A6"/>
    <w:rsid w:val="25BA3AC2"/>
    <w:rsid w:val="25E35F78"/>
    <w:rsid w:val="25E672AF"/>
    <w:rsid w:val="25FA71A7"/>
    <w:rsid w:val="29D96DE6"/>
    <w:rsid w:val="2A017181"/>
    <w:rsid w:val="2A096906"/>
    <w:rsid w:val="2A852E16"/>
    <w:rsid w:val="2B935F8B"/>
    <w:rsid w:val="2C7D36A6"/>
    <w:rsid w:val="2D275BA3"/>
    <w:rsid w:val="2D2937A4"/>
    <w:rsid w:val="2DA12880"/>
    <w:rsid w:val="2DE60FE9"/>
    <w:rsid w:val="2E2E375B"/>
    <w:rsid w:val="2E3F5130"/>
    <w:rsid w:val="2EA436B8"/>
    <w:rsid w:val="2F435E75"/>
    <w:rsid w:val="30E278B7"/>
    <w:rsid w:val="30F731BF"/>
    <w:rsid w:val="316C4699"/>
    <w:rsid w:val="31D5300E"/>
    <w:rsid w:val="32074AE8"/>
    <w:rsid w:val="32452C35"/>
    <w:rsid w:val="32852BB9"/>
    <w:rsid w:val="335812CC"/>
    <w:rsid w:val="33625746"/>
    <w:rsid w:val="344C1AB1"/>
    <w:rsid w:val="34842458"/>
    <w:rsid w:val="348D1EBF"/>
    <w:rsid w:val="34AD46FA"/>
    <w:rsid w:val="34FF4619"/>
    <w:rsid w:val="355E7EBE"/>
    <w:rsid w:val="35D85D9C"/>
    <w:rsid w:val="36AA6884"/>
    <w:rsid w:val="38F05713"/>
    <w:rsid w:val="3A947EA8"/>
    <w:rsid w:val="3A99673A"/>
    <w:rsid w:val="3BA42785"/>
    <w:rsid w:val="3D240DAA"/>
    <w:rsid w:val="3E0317B2"/>
    <w:rsid w:val="3E0456CC"/>
    <w:rsid w:val="3E5B3A27"/>
    <w:rsid w:val="3E8D080A"/>
    <w:rsid w:val="3FA125F1"/>
    <w:rsid w:val="404B47FE"/>
    <w:rsid w:val="40731C07"/>
    <w:rsid w:val="415B0C46"/>
    <w:rsid w:val="419926B2"/>
    <w:rsid w:val="41A86B47"/>
    <w:rsid w:val="41F22847"/>
    <w:rsid w:val="4272131F"/>
    <w:rsid w:val="427B5BFE"/>
    <w:rsid w:val="43B92166"/>
    <w:rsid w:val="46075113"/>
    <w:rsid w:val="465062F2"/>
    <w:rsid w:val="46EB3CE3"/>
    <w:rsid w:val="483702F5"/>
    <w:rsid w:val="48DF3E68"/>
    <w:rsid w:val="496124C9"/>
    <w:rsid w:val="4981416D"/>
    <w:rsid w:val="49F70D7E"/>
    <w:rsid w:val="4A131391"/>
    <w:rsid w:val="4B2374AE"/>
    <w:rsid w:val="4C9D1BF8"/>
    <w:rsid w:val="4D554104"/>
    <w:rsid w:val="4E4D00C9"/>
    <w:rsid w:val="4EDF5C92"/>
    <w:rsid w:val="50062CBA"/>
    <w:rsid w:val="519A7B5C"/>
    <w:rsid w:val="529918CE"/>
    <w:rsid w:val="52C56A72"/>
    <w:rsid w:val="53475B91"/>
    <w:rsid w:val="53F807BB"/>
    <w:rsid w:val="543D4952"/>
    <w:rsid w:val="547728AF"/>
    <w:rsid w:val="549A20E2"/>
    <w:rsid w:val="560739EF"/>
    <w:rsid w:val="568E39EC"/>
    <w:rsid w:val="569B70A9"/>
    <w:rsid w:val="56CD7822"/>
    <w:rsid w:val="57116BC1"/>
    <w:rsid w:val="57B1507D"/>
    <w:rsid w:val="580435EA"/>
    <w:rsid w:val="580E6663"/>
    <w:rsid w:val="58597EAB"/>
    <w:rsid w:val="59483156"/>
    <w:rsid w:val="59EB7D63"/>
    <w:rsid w:val="59F32604"/>
    <w:rsid w:val="5AAC31E8"/>
    <w:rsid w:val="5B676E56"/>
    <w:rsid w:val="5B8B4179"/>
    <w:rsid w:val="5BB77C14"/>
    <w:rsid w:val="5BDA4827"/>
    <w:rsid w:val="5BE5773F"/>
    <w:rsid w:val="5C376DA8"/>
    <w:rsid w:val="5C69496B"/>
    <w:rsid w:val="5D904821"/>
    <w:rsid w:val="5E123B5A"/>
    <w:rsid w:val="5E511501"/>
    <w:rsid w:val="5EC02F59"/>
    <w:rsid w:val="5EC13142"/>
    <w:rsid w:val="5EFE064F"/>
    <w:rsid w:val="60CF13EE"/>
    <w:rsid w:val="61557870"/>
    <w:rsid w:val="61E805DF"/>
    <w:rsid w:val="62084CF3"/>
    <w:rsid w:val="624B7882"/>
    <w:rsid w:val="62AA085A"/>
    <w:rsid w:val="64905AEC"/>
    <w:rsid w:val="64E738E4"/>
    <w:rsid w:val="657B3C25"/>
    <w:rsid w:val="65E359B8"/>
    <w:rsid w:val="65E868EF"/>
    <w:rsid w:val="66C83DD1"/>
    <w:rsid w:val="69067CBE"/>
    <w:rsid w:val="6A0A1799"/>
    <w:rsid w:val="6B2E4316"/>
    <w:rsid w:val="6BE55234"/>
    <w:rsid w:val="6DD225CB"/>
    <w:rsid w:val="6DD63CD1"/>
    <w:rsid w:val="6F0942B2"/>
    <w:rsid w:val="6F117429"/>
    <w:rsid w:val="6F1D1524"/>
    <w:rsid w:val="6FFC4D49"/>
    <w:rsid w:val="704D029C"/>
    <w:rsid w:val="70ED1816"/>
    <w:rsid w:val="713E242E"/>
    <w:rsid w:val="71441368"/>
    <w:rsid w:val="72431F7D"/>
    <w:rsid w:val="72713655"/>
    <w:rsid w:val="72825AF2"/>
    <w:rsid w:val="729B686F"/>
    <w:rsid w:val="731629DD"/>
    <w:rsid w:val="73703706"/>
    <w:rsid w:val="766671EE"/>
    <w:rsid w:val="767C72BC"/>
    <w:rsid w:val="786A0485"/>
    <w:rsid w:val="78B804CC"/>
    <w:rsid w:val="799727D8"/>
    <w:rsid w:val="7A79519C"/>
    <w:rsid w:val="7A7F4C81"/>
    <w:rsid w:val="7AD37CAB"/>
    <w:rsid w:val="7AD51A33"/>
    <w:rsid w:val="7ADD4010"/>
    <w:rsid w:val="7B311EAC"/>
    <w:rsid w:val="7B5D64A5"/>
    <w:rsid w:val="7BBA65DF"/>
    <w:rsid w:val="7C267368"/>
    <w:rsid w:val="7C36041D"/>
    <w:rsid w:val="7C42596D"/>
    <w:rsid w:val="7CD1297B"/>
    <w:rsid w:val="7EC22BB5"/>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b/>
      <w:kern w:val="20"/>
      <w:sz w:val="16"/>
      <w:lang w:eastAsia="en-US"/>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overflowPunct w:val="0"/>
      <w:autoSpaceDE w:val="0"/>
      <w:autoSpaceDN w:val="0"/>
      <w:adjustRightInd w:val="0"/>
      <w:jc w:val="center"/>
      <w:textAlignment w:val="baseline"/>
    </w:pPr>
    <w:rPr>
      <w:szCs w:val="18"/>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99"/>
    <w:rPr>
      <w:b/>
      <w:bCs/>
    </w:rPr>
  </w:style>
  <w:style w:type="character" w:customStyle="1" w:styleId="34">
    <w:name w:val="TAH Car"/>
    <w:link w:val="33"/>
    <w:qFormat/>
    <w:uiPriority w:val="99"/>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0"/>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textAlignment w:val="baseline"/>
    </w:pPr>
    <w:rPr>
      <w:rFonts w:ascii="Arial" w:hAnsi="Arial" w:eastAsia="宋体"/>
      <w:b/>
      <w:bCs/>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rPr>
  </w:style>
  <w:style w:type="paragraph" w:customStyle="1" w:styleId="88">
    <w:name w:val="Agreement"/>
    <w:basedOn w:val="1"/>
    <w:next w:val="64"/>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FF54-AE9D-484A-8B50-9E5A5AEB4AAC}">
  <ds:schemaRefs/>
</ds:datastoreItem>
</file>

<file path=docProps/app.xml><?xml version="1.0" encoding="utf-8"?>
<Properties xmlns="http://schemas.openxmlformats.org/officeDocument/2006/extended-properties" xmlns:vt="http://schemas.openxmlformats.org/officeDocument/2006/docPropsVTypes">
  <Template>Normal</Template>
  <Pages>7</Pages>
  <Words>1586</Words>
  <Characters>9045</Characters>
  <Lines>75</Lines>
  <Paragraphs>21</Paragraphs>
  <TotalTime>2</TotalTime>
  <ScaleCrop>false</ScaleCrop>
  <LinksUpToDate>false</LinksUpToDate>
  <CharactersWithSpaces>10610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2025-02-07T09:06:27Z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5DE17F75571642D0A3D7A6E2DFE38322</vt:lpwstr>
  </property>
</Properties>
</file>